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附件：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中山大学南方学院2018年度省级教学质量工程立项建设项目汇总表</w:t>
      </w:r>
    </w:p>
    <w:tbl>
      <w:tblPr>
        <w:tblStyle w:val="3"/>
        <w:tblW w:w="99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2485"/>
        <w:gridCol w:w="3379"/>
        <w:gridCol w:w="1257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4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中山大学南方学院-广州粤嵌通信科技股份有限公司信息技术实践教学基地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苑俊英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4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重点专业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>艺术设计学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>冯原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4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谭劲松、董成杰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46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广东省在线开放课程 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孙明岩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广东省在线开放课程 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eastAsia="zh-CN"/>
              </w:rPr>
              <w:t>中国古代文学史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eastAsia="zh-CN"/>
              </w:rPr>
              <w:t>孙立、周秀梅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文学与传媒学院</w:t>
            </w:r>
          </w:p>
        </w:tc>
      </w:tr>
    </w:tbl>
    <w:tbl>
      <w:tblPr>
        <w:tblStyle w:val="3"/>
        <w:tblpPr w:leftFromText="180" w:rightFromText="180" w:vertAnchor="text" w:horzAnchor="page" w:tblpXSpec="center" w:tblpY="311"/>
        <w:tblOverlap w:val="never"/>
        <w:tblW w:w="10140" w:type="dxa"/>
        <w:jc w:val="center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092"/>
        <w:gridCol w:w="3553"/>
        <w:gridCol w:w="1215"/>
        <w:gridCol w:w="1093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0140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中山大学南方学院2018年度省级教学改革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立项建设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独立学院会计学科应用型转型的研究与实践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卫建国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基于“4P”创新能力培养的教学方法在艺术设计类课程中的改革研究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基于“四堂联动，三项融通，校企共赢”的电子商务专业人才培养模式的改革与实践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钟肖英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独立学院体育课内外一体化制度改革和创新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何江海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SPOC混合教学模式的过程设计与管理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综合素养学部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基于胜任力导向的Seminar-CBT教学法在社区护理学课程中的应用研究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健康与护理系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护理药理学教学中形成性评价体系的构建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护理系</w:t>
            </w:r>
          </w:p>
        </w:tc>
      </w:tr>
    </w:tbl>
    <w:p/>
    <w:p/>
    <w:sectPr>
      <w:pgSz w:w="11906" w:h="16838"/>
      <w:pgMar w:top="1440" w:right="850" w:bottom="930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2824"/>
    <w:rsid w:val="0A226DC9"/>
    <w:rsid w:val="12A86597"/>
    <w:rsid w:val="1AA758E9"/>
    <w:rsid w:val="253A756C"/>
    <w:rsid w:val="26FA09FA"/>
    <w:rsid w:val="31A55837"/>
    <w:rsid w:val="35540C4C"/>
    <w:rsid w:val="3C10505E"/>
    <w:rsid w:val="467C3ECA"/>
    <w:rsid w:val="4A114D5E"/>
    <w:rsid w:val="4EA55192"/>
    <w:rsid w:val="53F04512"/>
    <w:rsid w:val="587716C9"/>
    <w:rsid w:val="61156ED7"/>
    <w:rsid w:val="6AC10928"/>
    <w:rsid w:val="6FEC303E"/>
    <w:rsid w:val="7AC44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林--秀</cp:lastModifiedBy>
  <dcterms:modified xsi:type="dcterms:W3CDTF">2018-09-28T03:02:20Z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