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auto"/>
        <w:rPr>
          <w:rFonts w:hint="eastAsia" w:eastAsia="宋体"/>
          <w:bCs w:val="0"/>
          <w:kern w:val="0"/>
          <w:sz w:val="36"/>
          <w:szCs w:val="36"/>
        </w:rPr>
      </w:pPr>
      <w:bookmarkStart w:id="0" w:name="_Toc487793739"/>
      <w:r>
        <w:rPr>
          <w:rFonts w:hint="eastAsia" w:eastAsia="宋体"/>
          <w:bCs w:val="0"/>
          <w:kern w:val="0"/>
          <w:sz w:val="36"/>
          <w:szCs w:val="36"/>
        </w:rPr>
        <w:t>中山大学南方学院</w:t>
      </w:r>
    </w:p>
    <w:p>
      <w:pPr>
        <w:pStyle w:val="2"/>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auto"/>
        <w:rPr>
          <w:rFonts w:hint="eastAsia" w:eastAsia="宋体"/>
          <w:bCs w:val="0"/>
          <w:kern w:val="0"/>
          <w:sz w:val="36"/>
          <w:szCs w:val="36"/>
        </w:rPr>
      </w:pPr>
      <w:r>
        <w:rPr>
          <w:rFonts w:hint="eastAsia" w:eastAsia="宋体"/>
          <w:bCs w:val="0"/>
          <w:kern w:val="0"/>
          <w:sz w:val="36"/>
          <w:szCs w:val="36"/>
        </w:rPr>
        <w:t>学生综合素质测评实施规定</w:t>
      </w:r>
      <w:bookmarkEnd w:id="0"/>
    </w:p>
    <w:p>
      <w:pPr>
        <w:keepNext w:val="0"/>
        <w:keepLines w:val="0"/>
        <w:pageBreakBefore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2017年8月修订</w:t>
      </w:r>
      <w:r>
        <w:rPr>
          <w:rFonts w:hint="eastAsia" w:asciiTheme="minorEastAsia" w:hAnsiTheme="minorEastAsia" w:eastAsiaTheme="minorEastAsia" w:cstheme="minorEastAsia"/>
          <w:b/>
          <w:bCs/>
          <w:lang w:eastAsia="zh-CN"/>
        </w:rPr>
        <w:t>）</w:t>
      </w:r>
    </w:p>
    <w:p>
      <w:pPr>
        <w:keepNext w:val="0"/>
        <w:keepLines w:val="0"/>
        <w:pageBreakBefore w:val="0"/>
        <w:widowControl/>
        <w:kinsoku/>
        <w:wordWrap/>
        <w:overflowPunct/>
        <w:topLinePunct w:val="0"/>
        <w:autoSpaceDE/>
        <w:autoSpaceDN/>
        <w:bidi w:val="0"/>
        <w:snapToGrid/>
        <w:spacing w:line="360" w:lineRule="auto"/>
        <w:jc w:val="center"/>
        <w:textAlignment w:val="auto"/>
        <w:rPr>
          <w:rFonts w:ascii="宋体" w:hAnsi="宋体" w:eastAsia="宋体" w:cs="宋体"/>
          <w:b/>
          <w:kern w:val="0"/>
          <w:szCs w:val="21"/>
        </w:rPr>
      </w:pPr>
    </w:p>
    <w:p>
      <w:pPr>
        <w:keepNext w:val="0"/>
        <w:keepLines w:val="0"/>
        <w:pageBreakBefore w:val="0"/>
        <w:widowControl/>
        <w:kinsoku/>
        <w:wordWrap/>
        <w:overflowPunct/>
        <w:topLinePunct w:val="0"/>
        <w:autoSpaceDE/>
        <w:autoSpaceDN/>
        <w:bidi w:val="0"/>
        <w:snapToGrid/>
        <w:spacing w:line="360" w:lineRule="auto"/>
        <w:jc w:val="center"/>
        <w:textAlignment w:val="auto"/>
        <w:rPr>
          <w:rFonts w:ascii="宋体" w:hAnsi="宋体" w:eastAsia="宋体" w:cs="宋体"/>
          <w:b/>
          <w:kern w:val="0"/>
          <w:sz w:val="24"/>
          <w:szCs w:val="24"/>
        </w:rPr>
      </w:pPr>
      <w:r>
        <w:rPr>
          <w:rFonts w:hint="eastAsia" w:ascii="宋体" w:hAnsi="宋体" w:eastAsia="宋体" w:cs="宋体"/>
          <w:b/>
          <w:kern w:val="0"/>
          <w:sz w:val="24"/>
          <w:szCs w:val="24"/>
        </w:rPr>
        <w:t>第一章 总  则</w:t>
      </w: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p>
    <w:p>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outlineLvl w:val="9"/>
        <w:rPr>
          <w:rFonts w:ascii="宋体" w:hAnsi="宋体" w:eastAsia="宋体" w:cs="宋体"/>
          <w:kern w:val="0"/>
          <w:szCs w:val="21"/>
        </w:rPr>
      </w:pPr>
      <w:r>
        <w:rPr>
          <w:rFonts w:hint="eastAsia" w:ascii="宋体" w:hAnsi="宋体" w:eastAsia="宋体" w:cs="宋体"/>
          <w:b/>
          <w:kern w:val="0"/>
          <w:szCs w:val="21"/>
        </w:rPr>
        <w:t>第一条</w:t>
      </w:r>
      <w:r>
        <w:rPr>
          <w:rFonts w:hint="eastAsia" w:ascii="宋体" w:hAnsi="宋体" w:eastAsia="宋体" w:cs="宋体"/>
          <w:kern w:val="0"/>
          <w:szCs w:val="21"/>
        </w:rPr>
        <w:t xml:space="preserve">  为贯彻落实党的教育方针，加强学生教育管理，鼓励学生在校期间勤奋学习、努力进取，德智体美劳全面发展，根据中共中央、国务院《关于深化教育改革全面推进素质教育的决定》（中发〔1999〕9号）、《关于进一步加强和改进大学生思想政治工作的意见》（中发〔2004〕16号），以及教育部《普通高等学校学生管理规定》（</w:t>
      </w:r>
      <w:r>
        <w:rPr>
          <w:rFonts w:hint="eastAsia" w:ascii="宋体" w:hAnsi="宋体" w:eastAsia="宋体" w:cs="宋体"/>
          <w:bCs/>
          <w:kern w:val="0"/>
          <w:szCs w:val="21"/>
        </w:rPr>
        <w:t>中华人民共和国教育部令第41号）</w:t>
      </w:r>
      <w:r>
        <w:rPr>
          <w:rFonts w:hint="eastAsia" w:ascii="宋体" w:hAnsi="宋体" w:eastAsia="宋体" w:cs="宋体"/>
          <w:kern w:val="0"/>
          <w:szCs w:val="21"/>
        </w:rPr>
        <w:t>等文件的精神，结合我院实际，制定本办法。</w:t>
      </w:r>
    </w:p>
    <w:p>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outlineLvl w:val="9"/>
        <w:rPr>
          <w:rFonts w:ascii="宋体" w:hAnsi="宋体" w:eastAsia="宋体" w:cs="宋体"/>
          <w:kern w:val="0"/>
          <w:szCs w:val="21"/>
        </w:rPr>
      </w:pPr>
      <w:r>
        <w:rPr>
          <w:rFonts w:hint="eastAsia" w:ascii="宋体" w:hAnsi="宋体" w:eastAsia="宋体" w:cs="宋体"/>
          <w:b/>
          <w:kern w:val="0"/>
          <w:szCs w:val="21"/>
        </w:rPr>
        <w:t>第二条</w:t>
      </w:r>
      <w:r>
        <w:rPr>
          <w:rFonts w:hint="eastAsia" w:ascii="宋体" w:hAnsi="宋体" w:eastAsia="宋体" w:cs="宋体"/>
          <w:kern w:val="0"/>
          <w:szCs w:val="21"/>
        </w:rPr>
        <w:t xml:space="preserve">  凡我院全日制本科二年级（含二年级）以上学生每年均应参加综合素质测评。综合素质测评的结果，作为评定奖学金、评优、学生资助以及推荐就业的重要依据。</w:t>
      </w:r>
    </w:p>
    <w:p>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outlineLvl w:val="9"/>
        <w:rPr>
          <w:rFonts w:ascii="宋体" w:hAnsi="宋体" w:eastAsia="宋体" w:cs="宋体"/>
          <w:kern w:val="0"/>
          <w:szCs w:val="21"/>
        </w:rPr>
      </w:pPr>
      <w:r>
        <w:rPr>
          <w:rFonts w:hint="eastAsia" w:ascii="宋体" w:hAnsi="宋体" w:eastAsia="宋体" w:cs="宋体"/>
          <w:b/>
          <w:kern w:val="0"/>
          <w:szCs w:val="21"/>
        </w:rPr>
        <w:t>第三条</w:t>
      </w:r>
      <w:r>
        <w:rPr>
          <w:rFonts w:hint="eastAsia" w:ascii="宋体" w:hAnsi="宋体" w:eastAsia="宋体" w:cs="宋体"/>
          <w:kern w:val="0"/>
          <w:szCs w:val="21"/>
        </w:rPr>
        <w:t xml:space="preserve">  综合素质测评遵循客观、公正、民主、公开的原则。测评的标准、程序以及结果公开，并接受广大师生的监督。综合测评结果存入学生本人档案。</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kern w:val="0"/>
          <w:sz w:val="24"/>
          <w:szCs w:val="24"/>
        </w:rPr>
      </w:pPr>
      <w:r>
        <w:rPr>
          <w:rFonts w:hint="eastAsia" w:ascii="宋体" w:hAnsi="宋体" w:eastAsia="宋体" w:cs="宋体"/>
          <w:b/>
          <w:kern w:val="0"/>
          <w:sz w:val="24"/>
          <w:szCs w:val="24"/>
        </w:rPr>
        <w:t>第二章 综合素质测评的项目及评分标准</w:t>
      </w: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p>
    <w:p>
      <w:pPr>
        <w:keepNext w:val="0"/>
        <w:keepLines w:val="0"/>
        <w:pageBreakBefore w:val="0"/>
        <w:widowControl/>
        <w:kinsoku/>
        <w:wordWrap/>
        <w:overflowPunct/>
        <w:topLinePunct w:val="0"/>
        <w:autoSpaceDE/>
        <w:autoSpaceDN/>
        <w:bidi w:val="0"/>
        <w:snapToGrid/>
        <w:spacing w:line="360" w:lineRule="auto"/>
        <w:ind w:firstLine="413" w:firstLineChars="196"/>
        <w:jc w:val="both"/>
        <w:textAlignment w:val="auto"/>
        <w:outlineLvl w:val="9"/>
        <w:rPr>
          <w:rFonts w:ascii="宋体" w:hAnsi="宋体" w:eastAsia="宋体" w:cs="宋体"/>
          <w:kern w:val="0"/>
          <w:szCs w:val="21"/>
        </w:rPr>
      </w:pPr>
      <w:r>
        <w:rPr>
          <w:rFonts w:hint="eastAsia" w:ascii="宋体" w:hAnsi="宋体" w:eastAsia="宋体" w:cs="宋体"/>
          <w:b/>
          <w:kern w:val="0"/>
          <w:szCs w:val="21"/>
        </w:rPr>
        <w:t xml:space="preserve">第四条 </w:t>
      </w:r>
      <w:r>
        <w:rPr>
          <w:rFonts w:hint="eastAsia" w:ascii="宋体" w:hAnsi="宋体" w:eastAsia="宋体" w:cs="宋体"/>
          <w:kern w:val="0"/>
          <w:szCs w:val="21"/>
        </w:rPr>
        <w:t xml:space="preserve"> 综合素质测评采取量化方式，对学生在校期间综合表现进行全面评价。包括基础性素质、发展性素质与学业能力三个方面。其中基础性素质与发展性素质测评共占15%，学业测评占85%。计算公式如下：</w:t>
      </w:r>
    </w:p>
    <w:p>
      <w:pPr>
        <w:keepNext w:val="0"/>
        <w:keepLines w:val="0"/>
        <w:pageBreakBefore w:val="0"/>
        <w:widowControl/>
        <w:kinsoku/>
        <w:wordWrap/>
        <w:overflowPunct/>
        <w:topLinePunct w:val="0"/>
        <w:autoSpaceDE/>
        <w:autoSpaceDN/>
        <w:bidi w:val="0"/>
        <w:snapToGrid/>
        <w:spacing w:line="360" w:lineRule="auto"/>
        <w:ind w:firstLine="356" w:firstLineChars="199"/>
        <w:jc w:val="both"/>
        <w:textAlignment w:val="auto"/>
        <w:outlineLvl w:val="9"/>
        <w:rPr>
          <w:rFonts w:cs="宋体" w:asciiTheme="minorEastAsia" w:hAnsiTheme="minorEastAsia"/>
          <w:b/>
          <w:w w:val="85"/>
          <w:kern w:val="0"/>
          <w:szCs w:val="21"/>
        </w:rPr>
      </w:pPr>
      <w:r>
        <w:rPr>
          <w:rFonts w:hint="eastAsia" w:cs="宋体" w:asciiTheme="minorEastAsia" w:hAnsiTheme="minorEastAsia"/>
          <w:b/>
          <w:w w:val="85"/>
          <w:kern w:val="0"/>
          <w:szCs w:val="21"/>
        </w:rPr>
        <w:t>综合素质测评分=（基础性素质分+发展性素质分）×15%+学业成绩分×85%</w:t>
      </w:r>
    </w:p>
    <w:p>
      <w:pPr>
        <w:keepNext w:val="0"/>
        <w:keepLines w:val="0"/>
        <w:pageBreakBefore w:val="0"/>
        <w:widowControl/>
        <w:kinsoku/>
        <w:wordWrap/>
        <w:overflowPunct/>
        <w:topLinePunct w:val="0"/>
        <w:autoSpaceDE/>
        <w:autoSpaceDN/>
        <w:bidi w:val="0"/>
        <w:snapToGrid/>
        <w:spacing w:line="360" w:lineRule="auto"/>
        <w:ind w:firstLine="413" w:firstLineChars="196"/>
        <w:jc w:val="both"/>
        <w:textAlignment w:val="auto"/>
        <w:outlineLvl w:val="9"/>
        <w:rPr>
          <w:rFonts w:ascii="宋体" w:hAnsi="宋体" w:eastAsia="宋体" w:cs="宋体"/>
          <w:kern w:val="0"/>
          <w:szCs w:val="21"/>
        </w:rPr>
      </w:pPr>
      <w:bookmarkStart w:id="1" w:name="OLE_LINK1"/>
      <w:r>
        <w:rPr>
          <w:rFonts w:hint="eastAsia" w:ascii="宋体" w:hAnsi="宋体" w:eastAsia="宋体" w:cs="宋体"/>
          <w:b/>
          <w:kern w:val="0"/>
          <w:szCs w:val="21"/>
        </w:rPr>
        <w:t xml:space="preserve">第五条 </w:t>
      </w:r>
      <w:r>
        <w:rPr>
          <w:rFonts w:hint="eastAsia" w:ascii="宋体" w:hAnsi="宋体" w:eastAsia="宋体" w:cs="宋体"/>
          <w:kern w:val="0"/>
          <w:szCs w:val="21"/>
        </w:rPr>
        <w:t xml:space="preserve"> </w:t>
      </w:r>
      <w:r>
        <w:rPr>
          <w:rFonts w:hint="eastAsia" w:ascii="宋体" w:hAnsi="宋体" w:eastAsia="宋体" w:cs="宋体"/>
          <w:b/>
          <w:kern w:val="0"/>
          <w:szCs w:val="21"/>
        </w:rPr>
        <w:t>基础性素质测评。</w:t>
      </w:r>
      <w:bookmarkEnd w:id="1"/>
      <w:r>
        <w:rPr>
          <w:rFonts w:hint="eastAsia" w:ascii="宋体" w:hAnsi="宋体" w:eastAsia="宋体" w:cs="宋体"/>
          <w:kern w:val="0"/>
          <w:szCs w:val="21"/>
        </w:rPr>
        <w:t>基础素质主要包括思想道德素养、组织法纪素养、学习发展素养、科学文化素养与身心健康素养等五个一级指标构成，依据《基础素质测评指标体系》（见附件），由所在班级的测评小组进行评分。</w:t>
      </w:r>
    </w:p>
    <w:p>
      <w:pPr>
        <w:keepNext w:val="0"/>
        <w:keepLines w:val="0"/>
        <w:pageBreakBefore w:val="0"/>
        <w:widowControl/>
        <w:kinsoku/>
        <w:wordWrap/>
        <w:overflowPunct/>
        <w:topLinePunct w:val="0"/>
        <w:autoSpaceDE/>
        <w:autoSpaceDN/>
        <w:bidi w:val="0"/>
        <w:snapToGrid/>
        <w:spacing w:line="360" w:lineRule="auto"/>
        <w:ind w:firstLine="413" w:firstLineChars="196"/>
        <w:jc w:val="both"/>
        <w:textAlignment w:val="auto"/>
        <w:outlineLvl w:val="9"/>
        <w:rPr>
          <w:rFonts w:ascii="宋体" w:hAnsi="宋体" w:eastAsia="宋体" w:cs="宋体"/>
          <w:kern w:val="0"/>
          <w:szCs w:val="21"/>
        </w:rPr>
      </w:pPr>
      <w:r>
        <w:rPr>
          <w:rFonts w:hint="eastAsia" w:ascii="宋体" w:hAnsi="宋体" w:eastAsia="宋体" w:cs="宋体"/>
          <w:b/>
          <w:kern w:val="0"/>
          <w:szCs w:val="21"/>
        </w:rPr>
        <w:t>第六条  发展性素质测评。</w:t>
      </w:r>
      <w:r>
        <w:rPr>
          <w:rFonts w:hint="eastAsia" w:ascii="宋体" w:hAnsi="宋体" w:eastAsia="宋体" w:cs="宋体"/>
          <w:kern w:val="0"/>
          <w:szCs w:val="21"/>
        </w:rPr>
        <w:t>发展性素质测评是对学生在测评学年自身素质拓展方面进行的综合评价，包括荣誉称号、文体艺术等竞赛、社会工作、知识与技能四个加分维度（加分上限为40分）和日常操行减分项。</w:t>
      </w:r>
    </w:p>
    <w:p>
      <w:pPr>
        <w:keepNext w:val="0"/>
        <w:keepLines w:val="0"/>
        <w:pageBreakBefore w:val="0"/>
        <w:widowControl/>
        <w:kinsoku/>
        <w:wordWrap/>
        <w:overflowPunct/>
        <w:topLinePunct w:val="0"/>
        <w:autoSpaceDE/>
        <w:autoSpaceDN/>
        <w:bidi w:val="0"/>
        <w:snapToGrid/>
        <w:spacing w:line="360" w:lineRule="auto"/>
        <w:ind w:firstLine="413" w:firstLineChars="196"/>
        <w:jc w:val="both"/>
        <w:textAlignment w:val="auto"/>
        <w:outlineLvl w:val="9"/>
        <w:rPr>
          <w:rFonts w:ascii="宋体" w:hAnsi="宋体" w:eastAsia="宋体" w:cs="宋体"/>
          <w:b/>
          <w:kern w:val="0"/>
          <w:szCs w:val="21"/>
        </w:rPr>
      </w:pPr>
      <w:r>
        <w:rPr>
          <w:rFonts w:hint="eastAsia" w:ascii="宋体" w:hAnsi="宋体" w:eastAsia="宋体" w:cs="宋体"/>
          <w:b/>
          <w:kern w:val="0"/>
          <w:szCs w:val="21"/>
        </w:rPr>
        <w:t>（一）荣誉称号加分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1.在本学年度获得如下荣誉称号的，可按如下标准加分：</w:t>
      </w:r>
    </w:p>
    <w:tbl>
      <w:tblPr>
        <w:tblStyle w:val="10"/>
        <w:tblW w:w="6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715"/>
        <w:gridCol w:w="827"/>
        <w:gridCol w:w="795"/>
        <w:gridCol w:w="84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952"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项    目</w:t>
            </w:r>
          </w:p>
        </w:tc>
        <w:tc>
          <w:tcPr>
            <w:tcW w:w="71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w w:val="90"/>
                <w:kern w:val="0"/>
                <w:szCs w:val="21"/>
              </w:rPr>
            </w:pPr>
            <w:r>
              <w:rPr>
                <w:rFonts w:hint="eastAsia" w:ascii="宋体" w:hAnsi="宋体" w:eastAsia="宋体" w:cs="宋体"/>
                <w:b/>
                <w:w w:val="90"/>
                <w:kern w:val="0"/>
                <w:szCs w:val="21"/>
              </w:rPr>
              <w:t>国家级</w:t>
            </w:r>
          </w:p>
        </w:tc>
        <w:tc>
          <w:tcPr>
            <w:tcW w:w="82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kern w:val="0"/>
                <w:szCs w:val="21"/>
              </w:rPr>
            </w:pPr>
            <w:r>
              <w:rPr>
                <w:rFonts w:hint="eastAsia" w:ascii="宋体" w:hAnsi="宋体" w:eastAsia="宋体" w:cs="宋体"/>
                <w:b/>
                <w:kern w:val="0"/>
                <w:szCs w:val="21"/>
              </w:rPr>
              <w:t>省级</w:t>
            </w:r>
          </w:p>
        </w:tc>
        <w:tc>
          <w:tcPr>
            <w:tcW w:w="795"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w w:val="66"/>
                <w:kern w:val="0"/>
                <w:szCs w:val="21"/>
              </w:rPr>
            </w:pPr>
            <w:r>
              <w:rPr>
                <w:rFonts w:hint="eastAsia" w:ascii="宋体" w:hAnsi="宋体" w:eastAsia="宋体" w:cs="宋体"/>
                <w:b/>
                <w:kern w:val="0"/>
                <w:szCs w:val="21"/>
              </w:rPr>
              <w:t>市级</w:t>
            </w:r>
            <w:r>
              <w:rPr>
                <w:rFonts w:hint="eastAsia" w:ascii="宋体" w:hAnsi="宋体" w:eastAsia="宋体" w:cs="宋体"/>
                <w:b/>
                <w:kern w:val="0"/>
                <w:szCs w:val="21"/>
                <w:lang w:val="en-US" w:eastAsia="zh-CN"/>
              </w:rPr>
              <w:t xml:space="preserve">  </w:t>
            </w:r>
            <w:r>
              <w:rPr>
                <w:rFonts w:hint="eastAsia" w:ascii="宋体" w:hAnsi="宋体" w:eastAsia="宋体" w:cs="宋体"/>
                <w:w w:val="80"/>
                <w:kern w:val="0"/>
                <w:szCs w:val="21"/>
                <w:lang w:eastAsia="zh-CN"/>
              </w:rPr>
              <w:t>（</w:t>
            </w:r>
            <w:r>
              <w:rPr>
                <w:rFonts w:hint="eastAsia" w:ascii="宋体" w:hAnsi="宋体" w:eastAsia="宋体" w:cs="宋体"/>
                <w:w w:val="80"/>
                <w:kern w:val="0"/>
                <w:szCs w:val="21"/>
              </w:rPr>
              <w:t>含中大级</w:t>
            </w:r>
            <w:r>
              <w:rPr>
                <w:rFonts w:hint="eastAsia" w:ascii="宋体" w:hAnsi="宋体" w:eastAsia="宋体" w:cs="宋体"/>
                <w:w w:val="80"/>
                <w:kern w:val="0"/>
                <w:szCs w:val="21"/>
                <w:lang w:eastAsia="zh-CN"/>
              </w:rPr>
              <w:t>）</w:t>
            </w:r>
          </w:p>
        </w:tc>
        <w:tc>
          <w:tcPr>
            <w:tcW w:w="840"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kern w:val="0"/>
                <w:szCs w:val="21"/>
              </w:rPr>
            </w:pPr>
            <w:r>
              <w:rPr>
                <w:rFonts w:hint="eastAsia" w:ascii="宋体" w:hAnsi="宋体" w:eastAsia="宋体" w:cs="宋体"/>
                <w:b/>
                <w:kern w:val="0"/>
                <w:szCs w:val="21"/>
              </w:rPr>
              <w:t>院级</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w w:val="80"/>
                <w:kern w:val="0"/>
                <w:szCs w:val="21"/>
              </w:rPr>
            </w:pPr>
            <w:r>
              <w:rPr>
                <w:rFonts w:hint="eastAsia" w:ascii="宋体" w:hAnsi="宋体" w:eastAsia="宋体" w:cs="宋体"/>
                <w:w w:val="80"/>
                <w:kern w:val="0"/>
                <w:szCs w:val="21"/>
              </w:rPr>
              <w:t>（含从化级）</w:t>
            </w:r>
          </w:p>
        </w:tc>
        <w:tc>
          <w:tcPr>
            <w:tcW w:w="81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kern w:val="0"/>
                <w:szCs w:val="21"/>
              </w:rPr>
            </w:pPr>
            <w:r>
              <w:rPr>
                <w:rFonts w:hint="eastAsia" w:ascii="宋体" w:hAnsi="宋体" w:eastAsia="宋体" w:cs="宋体"/>
                <w:b/>
                <w:kern w:val="0"/>
                <w:szCs w:val="21"/>
              </w:rPr>
              <w:t>系</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kern w:val="0"/>
                <w:szCs w:val="21"/>
              </w:rPr>
            </w:pPr>
            <w:r>
              <w:rPr>
                <w:rFonts w:hint="eastAsia" w:ascii="宋体" w:hAnsi="宋体" w:eastAsia="宋体" w:cs="宋体"/>
                <w:b/>
                <w:kern w:val="0"/>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952"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优秀共产党员、优秀团干部、 优秀学生干部、优秀团员</w:t>
            </w:r>
          </w:p>
        </w:tc>
        <w:tc>
          <w:tcPr>
            <w:tcW w:w="71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8</w:t>
            </w:r>
          </w:p>
        </w:tc>
        <w:tc>
          <w:tcPr>
            <w:tcW w:w="82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c>
          <w:tcPr>
            <w:tcW w:w="79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5</w:t>
            </w:r>
          </w:p>
        </w:tc>
        <w:tc>
          <w:tcPr>
            <w:tcW w:w="84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81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952"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社会实践、军训、志愿服务、慈善公益活动等各类活动中获得积极分子或先进个人</w:t>
            </w:r>
          </w:p>
        </w:tc>
        <w:tc>
          <w:tcPr>
            <w:tcW w:w="71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7</w:t>
            </w:r>
          </w:p>
        </w:tc>
        <w:tc>
          <w:tcPr>
            <w:tcW w:w="82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c>
          <w:tcPr>
            <w:tcW w:w="79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5</w:t>
            </w:r>
          </w:p>
        </w:tc>
        <w:tc>
          <w:tcPr>
            <w:tcW w:w="84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81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952"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在见义勇为、拾金不昧、帮弱助残、抢险救灾、抢救伤残等方面有突出事迹，受到表彰</w:t>
            </w:r>
          </w:p>
        </w:tc>
        <w:tc>
          <w:tcPr>
            <w:tcW w:w="71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7</w:t>
            </w:r>
          </w:p>
        </w:tc>
        <w:tc>
          <w:tcPr>
            <w:tcW w:w="82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c>
          <w:tcPr>
            <w:tcW w:w="79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5</w:t>
            </w:r>
          </w:p>
        </w:tc>
        <w:tc>
          <w:tcPr>
            <w:tcW w:w="84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81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952"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bookmarkStart w:id="2" w:name="_Hlk326675107"/>
            <w:r>
              <w:rPr>
                <w:rFonts w:hint="eastAsia" w:ascii="宋体" w:hAnsi="宋体" w:eastAsia="宋体" w:cs="宋体"/>
                <w:kern w:val="0"/>
                <w:szCs w:val="21"/>
              </w:rPr>
              <w:t>优秀集体（优良学风班、红旗团支部、优秀团总支、共青团工作创新奖、优秀学生会等）主要干部（班长与团支书）/普通干部（限3人）</w:t>
            </w:r>
          </w:p>
        </w:tc>
        <w:tc>
          <w:tcPr>
            <w:tcW w:w="71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7/6</w:t>
            </w:r>
          </w:p>
        </w:tc>
        <w:tc>
          <w:tcPr>
            <w:tcW w:w="82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6/5</w:t>
            </w:r>
          </w:p>
        </w:tc>
        <w:tc>
          <w:tcPr>
            <w:tcW w:w="79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5/4</w:t>
            </w:r>
          </w:p>
        </w:tc>
        <w:tc>
          <w:tcPr>
            <w:tcW w:w="84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3/2</w:t>
            </w:r>
          </w:p>
        </w:tc>
        <w:tc>
          <w:tcPr>
            <w:tcW w:w="81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952"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优秀班集体（优良学风班、红旗团支部、优秀团总支、共青团工作创新奖、优秀学生会等）普通学生（含未加分学生干部）</w:t>
            </w:r>
          </w:p>
        </w:tc>
        <w:tc>
          <w:tcPr>
            <w:tcW w:w="71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82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79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84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c>
          <w:tcPr>
            <w:tcW w:w="81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952"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优秀社团负责人（1名）/主要干部（限3名）</w:t>
            </w:r>
          </w:p>
        </w:tc>
        <w:tc>
          <w:tcPr>
            <w:tcW w:w="71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7/6</w:t>
            </w:r>
          </w:p>
        </w:tc>
        <w:tc>
          <w:tcPr>
            <w:tcW w:w="82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6/5</w:t>
            </w:r>
          </w:p>
        </w:tc>
        <w:tc>
          <w:tcPr>
            <w:tcW w:w="79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5/4</w:t>
            </w:r>
          </w:p>
        </w:tc>
        <w:tc>
          <w:tcPr>
            <w:tcW w:w="84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3/2</w:t>
            </w:r>
          </w:p>
        </w:tc>
        <w:tc>
          <w:tcPr>
            <w:tcW w:w="81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952"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优秀社团普通干部</w:t>
            </w: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与社团成员</w:t>
            </w:r>
          </w:p>
        </w:tc>
        <w:tc>
          <w:tcPr>
            <w:tcW w:w="71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82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79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84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c>
          <w:tcPr>
            <w:tcW w:w="81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952"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文明宿舍舍长/舍员</w:t>
            </w:r>
          </w:p>
        </w:tc>
        <w:tc>
          <w:tcPr>
            <w:tcW w:w="71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c>
          <w:tcPr>
            <w:tcW w:w="82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c>
          <w:tcPr>
            <w:tcW w:w="79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c>
          <w:tcPr>
            <w:tcW w:w="84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2/1</w:t>
            </w:r>
          </w:p>
        </w:tc>
        <w:tc>
          <w:tcPr>
            <w:tcW w:w="81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1/0.5</w:t>
            </w:r>
          </w:p>
        </w:tc>
      </w:tr>
    </w:tbl>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2.学生工作部、招生办公室、图书馆等单位的非勤工助学岗的优秀学生助理与学院记者团先进个人加2分；勤工助学先进个人加1分。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3.同一荣誉称号有不同级别的，其加分按照获得的最高级别计算，不累加。</w:t>
      </w:r>
    </w:p>
    <w:p>
      <w:pPr>
        <w:keepNext w:val="0"/>
        <w:keepLines w:val="0"/>
        <w:pageBreakBefore w:val="0"/>
        <w:widowControl/>
        <w:kinsoku/>
        <w:wordWrap/>
        <w:overflowPunct/>
        <w:topLinePunct w:val="0"/>
        <w:autoSpaceDE/>
        <w:autoSpaceDN/>
        <w:bidi w:val="0"/>
        <w:snapToGrid/>
        <w:spacing w:line="360" w:lineRule="auto"/>
        <w:ind w:left="482"/>
        <w:jc w:val="both"/>
        <w:textAlignment w:val="auto"/>
        <w:outlineLvl w:val="9"/>
        <w:rPr>
          <w:rFonts w:ascii="宋体" w:hAnsi="宋体" w:eastAsia="宋体" w:cs="宋体"/>
          <w:b/>
          <w:kern w:val="0"/>
          <w:szCs w:val="21"/>
        </w:rPr>
      </w:pPr>
      <w:r>
        <w:rPr>
          <w:rFonts w:hint="eastAsia" w:ascii="宋体" w:hAnsi="宋体" w:eastAsia="宋体" w:cs="宋体"/>
          <w:b/>
          <w:kern w:val="0"/>
          <w:szCs w:val="21"/>
        </w:rPr>
        <w:t>（二）文体艺术等竞赛活动获奖加分</w:t>
      </w:r>
    </w:p>
    <w:p>
      <w:pPr>
        <w:keepNext w:val="0"/>
        <w:keepLines w:val="0"/>
        <w:pageBreakBefore w:val="0"/>
        <w:widowControl/>
        <w:kinsoku/>
        <w:wordWrap/>
        <w:overflowPunct/>
        <w:topLinePunct w:val="0"/>
        <w:autoSpaceDE/>
        <w:autoSpaceDN/>
        <w:bidi w:val="0"/>
        <w:snapToGrid/>
        <w:spacing w:line="360" w:lineRule="auto"/>
        <w:ind w:left="2" w:leftChars="1"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1.在各级文体艺术等校园文化竞赛活动中获得名次及荣誉的，可按如下标准加分：</w:t>
      </w:r>
    </w:p>
    <w:tbl>
      <w:tblPr>
        <w:tblStyle w:val="10"/>
        <w:tblW w:w="6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36"/>
        <w:gridCol w:w="457"/>
        <w:gridCol w:w="505"/>
        <w:gridCol w:w="445"/>
        <w:gridCol w:w="469"/>
        <w:gridCol w:w="554"/>
        <w:gridCol w:w="414"/>
        <w:gridCol w:w="784"/>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498" w:type="dxa"/>
            <w:tcBorders>
              <w:tl2br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 xml:space="preserve">     名次</w:t>
            </w: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 xml:space="preserve">  </w:t>
            </w: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级别</w:t>
            </w:r>
          </w:p>
        </w:tc>
        <w:tc>
          <w:tcPr>
            <w:tcW w:w="736"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w w:val="80"/>
                <w:kern w:val="0"/>
                <w:szCs w:val="21"/>
              </w:rPr>
            </w:pPr>
            <w:r>
              <w:rPr>
                <w:rFonts w:hint="eastAsia" w:ascii="宋体" w:hAnsi="宋体" w:eastAsia="宋体" w:cs="宋体"/>
                <w:b/>
                <w:w w:val="80"/>
                <w:kern w:val="0"/>
                <w:szCs w:val="21"/>
              </w:rPr>
              <w:t>特等奖</w:t>
            </w:r>
          </w:p>
        </w:tc>
        <w:tc>
          <w:tcPr>
            <w:tcW w:w="457"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一</w:t>
            </w:r>
          </w:p>
        </w:tc>
        <w:tc>
          <w:tcPr>
            <w:tcW w:w="505"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二</w:t>
            </w:r>
          </w:p>
        </w:tc>
        <w:tc>
          <w:tcPr>
            <w:tcW w:w="445"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三</w:t>
            </w:r>
          </w:p>
        </w:tc>
        <w:tc>
          <w:tcPr>
            <w:tcW w:w="469"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四</w:t>
            </w:r>
          </w:p>
        </w:tc>
        <w:tc>
          <w:tcPr>
            <w:tcW w:w="554"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五</w:t>
            </w:r>
          </w:p>
        </w:tc>
        <w:tc>
          <w:tcPr>
            <w:tcW w:w="414"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六</w:t>
            </w:r>
          </w:p>
        </w:tc>
        <w:tc>
          <w:tcPr>
            <w:tcW w:w="784"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w w:val="80"/>
                <w:kern w:val="0"/>
                <w:szCs w:val="21"/>
              </w:rPr>
            </w:pPr>
            <w:r>
              <w:rPr>
                <w:rFonts w:hint="eastAsia" w:ascii="宋体" w:hAnsi="宋体" w:eastAsia="宋体" w:cs="宋体"/>
                <w:b/>
                <w:w w:val="80"/>
                <w:kern w:val="0"/>
                <w:szCs w:val="21"/>
              </w:rPr>
              <w:t>单项奖</w:t>
            </w: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w w:val="80"/>
                <w:kern w:val="0"/>
                <w:szCs w:val="21"/>
              </w:rPr>
            </w:pPr>
            <w:r>
              <w:rPr>
                <w:rFonts w:hint="eastAsia" w:ascii="宋体" w:hAnsi="宋体" w:eastAsia="宋体" w:cs="宋体"/>
                <w:w w:val="80"/>
                <w:kern w:val="0"/>
                <w:szCs w:val="21"/>
              </w:rPr>
              <w:t>（个人）</w:t>
            </w:r>
          </w:p>
        </w:tc>
        <w:tc>
          <w:tcPr>
            <w:tcW w:w="733"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w w:val="80"/>
                <w:kern w:val="0"/>
                <w:szCs w:val="21"/>
              </w:rPr>
            </w:pPr>
            <w:r>
              <w:rPr>
                <w:rFonts w:hint="eastAsia" w:ascii="宋体" w:hAnsi="宋体" w:eastAsia="宋体" w:cs="宋体"/>
                <w:b/>
                <w:w w:val="80"/>
                <w:kern w:val="0"/>
                <w:szCs w:val="21"/>
              </w:rPr>
              <w:t>单项奖</w:t>
            </w: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w w:val="80"/>
                <w:kern w:val="0"/>
                <w:szCs w:val="21"/>
              </w:rPr>
            </w:pPr>
            <w:r>
              <w:rPr>
                <w:rFonts w:hint="eastAsia" w:ascii="宋体" w:hAnsi="宋体" w:eastAsia="宋体" w:cs="宋体"/>
                <w:w w:val="80"/>
                <w:kern w:val="0"/>
                <w:szCs w:val="21"/>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98"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国家级</w:t>
            </w:r>
          </w:p>
        </w:tc>
        <w:tc>
          <w:tcPr>
            <w:tcW w:w="736"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8</w:t>
            </w:r>
          </w:p>
        </w:tc>
        <w:tc>
          <w:tcPr>
            <w:tcW w:w="45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7</w:t>
            </w:r>
          </w:p>
        </w:tc>
        <w:tc>
          <w:tcPr>
            <w:tcW w:w="50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c>
          <w:tcPr>
            <w:tcW w:w="44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5</w:t>
            </w:r>
          </w:p>
        </w:tc>
        <w:tc>
          <w:tcPr>
            <w:tcW w:w="469"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55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41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78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733"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98"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省级</w:t>
            </w:r>
          </w:p>
        </w:tc>
        <w:tc>
          <w:tcPr>
            <w:tcW w:w="736"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7</w:t>
            </w:r>
          </w:p>
        </w:tc>
        <w:tc>
          <w:tcPr>
            <w:tcW w:w="45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c>
          <w:tcPr>
            <w:tcW w:w="50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5</w:t>
            </w:r>
          </w:p>
        </w:tc>
        <w:tc>
          <w:tcPr>
            <w:tcW w:w="44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469"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55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41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78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733"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98"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市级</w:t>
            </w:r>
            <w:r>
              <w:rPr>
                <w:rFonts w:hint="eastAsia" w:ascii="宋体" w:hAnsi="宋体" w:eastAsia="宋体" w:cs="宋体"/>
                <w:w w:val="80"/>
                <w:kern w:val="0"/>
                <w:szCs w:val="21"/>
              </w:rPr>
              <w:t>（含中大级）</w:t>
            </w:r>
          </w:p>
        </w:tc>
        <w:tc>
          <w:tcPr>
            <w:tcW w:w="736"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c>
          <w:tcPr>
            <w:tcW w:w="45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5</w:t>
            </w:r>
          </w:p>
        </w:tc>
        <w:tc>
          <w:tcPr>
            <w:tcW w:w="50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44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469"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55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c>
          <w:tcPr>
            <w:tcW w:w="41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c>
          <w:tcPr>
            <w:tcW w:w="78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733"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98"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院级</w:t>
            </w:r>
            <w:r>
              <w:rPr>
                <w:rFonts w:hint="eastAsia" w:ascii="宋体" w:hAnsi="宋体" w:eastAsia="宋体" w:cs="宋体"/>
                <w:w w:val="80"/>
                <w:kern w:val="0"/>
                <w:szCs w:val="21"/>
              </w:rPr>
              <w:t>（含从化级）</w:t>
            </w:r>
          </w:p>
        </w:tc>
        <w:tc>
          <w:tcPr>
            <w:tcW w:w="736"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45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50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1.5</w:t>
            </w:r>
          </w:p>
        </w:tc>
        <w:tc>
          <w:tcPr>
            <w:tcW w:w="44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c>
          <w:tcPr>
            <w:tcW w:w="469"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w w:val="90"/>
                <w:kern w:val="0"/>
                <w:szCs w:val="21"/>
              </w:rPr>
            </w:pPr>
            <w:r>
              <w:rPr>
                <w:rFonts w:hint="eastAsia" w:ascii="宋体" w:hAnsi="宋体" w:eastAsia="宋体" w:cs="宋体"/>
                <w:w w:val="90"/>
                <w:kern w:val="0"/>
                <w:szCs w:val="21"/>
              </w:rPr>
              <w:t>0.5</w:t>
            </w:r>
          </w:p>
        </w:tc>
        <w:tc>
          <w:tcPr>
            <w:tcW w:w="55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0.5</w:t>
            </w:r>
          </w:p>
        </w:tc>
        <w:tc>
          <w:tcPr>
            <w:tcW w:w="41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c>
          <w:tcPr>
            <w:tcW w:w="78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733"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2" w:hRule="atLeast"/>
          <w:jc w:val="center"/>
        </w:trPr>
        <w:tc>
          <w:tcPr>
            <w:tcW w:w="1498"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院系级</w:t>
            </w:r>
          </w:p>
        </w:tc>
        <w:tc>
          <w:tcPr>
            <w:tcW w:w="736"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45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w w:val="90"/>
                <w:kern w:val="0"/>
                <w:szCs w:val="21"/>
              </w:rPr>
            </w:pPr>
            <w:r>
              <w:rPr>
                <w:rFonts w:hint="eastAsia" w:ascii="宋体" w:hAnsi="宋体" w:eastAsia="宋体" w:cs="宋体"/>
                <w:kern w:val="0"/>
                <w:szCs w:val="21"/>
              </w:rPr>
              <w:t>2</w:t>
            </w:r>
          </w:p>
        </w:tc>
        <w:tc>
          <w:tcPr>
            <w:tcW w:w="50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w w:val="90"/>
                <w:kern w:val="0"/>
                <w:szCs w:val="21"/>
              </w:rPr>
              <w:t>1.5</w:t>
            </w:r>
          </w:p>
        </w:tc>
        <w:tc>
          <w:tcPr>
            <w:tcW w:w="445"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c>
          <w:tcPr>
            <w:tcW w:w="469"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c>
          <w:tcPr>
            <w:tcW w:w="55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c>
          <w:tcPr>
            <w:tcW w:w="41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bookmarkStart w:id="3" w:name="OLE_LINK8"/>
            <w:r>
              <w:rPr>
                <w:rFonts w:hint="eastAsia" w:ascii="宋体" w:hAnsi="宋体" w:eastAsia="宋体" w:cs="宋体"/>
                <w:kern w:val="0"/>
                <w:szCs w:val="21"/>
              </w:rPr>
              <w:t>—</w:t>
            </w:r>
            <w:bookmarkEnd w:id="3"/>
          </w:p>
        </w:tc>
        <w:tc>
          <w:tcPr>
            <w:tcW w:w="78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c>
          <w:tcPr>
            <w:tcW w:w="733"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0.5</w:t>
            </w:r>
          </w:p>
        </w:tc>
      </w:tr>
    </w:tbl>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2.参加同一项目获得不同级别奖励，以最高分计，不重复计分。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3.没有设置等级及具体奖项的，如入围奖、优秀奖或者六等奖、第六名以后的奖项，均按照六等奖标准进行加分。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4.所有集体奖项获得者（即两人及以上获得同一个奖项），按相应等级分值的一半计分。</w:t>
      </w:r>
    </w:p>
    <w:p>
      <w:pPr>
        <w:keepNext w:val="0"/>
        <w:keepLines w:val="0"/>
        <w:pageBreakBefore w:val="0"/>
        <w:widowControl/>
        <w:kinsoku/>
        <w:wordWrap/>
        <w:overflowPunct/>
        <w:topLinePunct w:val="0"/>
        <w:autoSpaceDE/>
        <w:autoSpaceDN/>
        <w:bidi w:val="0"/>
        <w:snapToGrid/>
        <w:spacing w:line="360" w:lineRule="auto"/>
        <w:ind w:firstLine="413" w:firstLineChars="196"/>
        <w:jc w:val="both"/>
        <w:textAlignment w:val="auto"/>
        <w:outlineLvl w:val="9"/>
        <w:rPr>
          <w:rFonts w:ascii="宋体" w:hAnsi="宋体" w:eastAsia="宋体" w:cs="宋体"/>
          <w:b/>
          <w:kern w:val="0"/>
          <w:szCs w:val="21"/>
        </w:rPr>
      </w:pPr>
      <w:r>
        <w:rPr>
          <w:rFonts w:hint="eastAsia" w:ascii="宋体" w:hAnsi="宋体" w:eastAsia="宋体" w:cs="宋体"/>
          <w:b/>
          <w:kern w:val="0"/>
          <w:szCs w:val="21"/>
        </w:rPr>
        <w:t>（三）社会工作加分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rPr>
      </w:pPr>
      <w:r>
        <w:rPr>
          <w:rFonts w:hint="eastAsia" w:ascii="宋体" w:hAnsi="宋体" w:eastAsia="宋体" w:cs="宋体"/>
          <w:kern w:val="0"/>
        </w:rPr>
        <w:t>1.社会工作加分依据是承担工作的内容和学年综合考评结果，具体如下：</w:t>
      </w:r>
    </w:p>
    <w:tbl>
      <w:tblPr>
        <w:tblStyle w:val="11"/>
        <w:tblW w:w="5523" w:type="dxa"/>
        <w:jc w:val="center"/>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892"/>
        <w:gridCol w:w="892"/>
        <w:gridCol w:w="89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896" w:type="dxa"/>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 w:val="21"/>
                <w:szCs w:val="21"/>
              </w:rPr>
            </w:pPr>
            <w:r>
              <w:rPr>
                <w:rFonts w:hint="eastAsia" w:ascii="宋体" w:hAnsi="宋体" w:eastAsia="宋体" w:cs="宋体"/>
                <w:kern w:val="0"/>
                <w:sz w:val="21"/>
                <w:szCs w:val="21"/>
              </w:rPr>
              <w:t>类别</w:t>
            </w:r>
          </w:p>
        </w:tc>
        <w:tc>
          <w:tcPr>
            <w:tcW w:w="892" w:type="dxa"/>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 w:val="21"/>
                <w:szCs w:val="21"/>
              </w:rPr>
            </w:pPr>
            <w:r>
              <w:rPr>
                <w:rFonts w:hint="eastAsia" w:ascii="宋体" w:hAnsi="宋体" w:eastAsia="宋体" w:cs="宋体"/>
                <w:kern w:val="0"/>
                <w:sz w:val="21"/>
                <w:szCs w:val="21"/>
              </w:rPr>
              <w:t>优秀</w:t>
            </w:r>
          </w:p>
        </w:tc>
        <w:tc>
          <w:tcPr>
            <w:tcW w:w="892" w:type="dxa"/>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 w:val="21"/>
                <w:szCs w:val="21"/>
              </w:rPr>
            </w:pPr>
            <w:r>
              <w:rPr>
                <w:rFonts w:hint="eastAsia" w:ascii="宋体" w:hAnsi="宋体" w:eastAsia="宋体" w:cs="宋体"/>
                <w:kern w:val="0"/>
                <w:sz w:val="21"/>
                <w:szCs w:val="21"/>
              </w:rPr>
              <w:t>称职</w:t>
            </w:r>
          </w:p>
        </w:tc>
        <w:tc>
          <w:tcPr>
            <w:tcW w:w="892" w:type="dxa"/>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 w:val="21"/>
                <w:szCs w:val="21"/>
              </w:rPr>
            </w:pPr>
            <w:r>
              <w:rPr>
                <w:rFonts w:hint="eastAsia" w:ascii="宋体" w:hAnsi="宋体" w:eastAsia="宋体" w:cs="宋体"/>
                <w:kern w:val="0"/>
                <w:sz w:val="21"/>
                <w:szCs w:val="21"/>
              </w:rPr>
              <w:t>基本称职</w:t>
            </w:r>
          </w:p>
        </w:tc>
        <w:tc>
          <w:tcPr>
            <w:tcW w:w="951" w:type="dxa"/>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 w:val="21"/>
                <w:szCs w:val="21"/>
              </w:rPr>
            </w:pPr>
            <w:r>
              <w:rPr>
                <w:rFonts w:hint="eastAsia" w:ascii="宋体" w:hAnsi="宋体" w:eastAsia="宋体" w:cs="宋体"/>
                <w:kern w:val="0"/>
                <w:sz w:val="21"/>
                <w:szCs w:val="21"/>
              </w:rPr>
              <w:t>不称职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96" w:type="dxa"/>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 w:val="21"/>
                <w:szCs w:val="21"/>
              </w:rPr>
            </w:pPr>
            <w:r>
              <w:rPr>
                <w:rFonts w:hint="eastAsia" w:ascii="宋体" w:hAnsi="宋体" w:eastAsia="宋体" w:cs="宋体"/>
                <w:kern w:val="0"/>
                <w:sz w:val="21"/>
                <w:szCs w:val="21"/>
              </w:rPr>
              <w:t>主要学生干部</w:t>
            </w:r>
          </w:p>
        </w:tc>
        <w:tc>
          <w:tcPr>
            <w:tcW w:w="892"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 w:val="21"/>
                <w:szCs w:val="21"/>
              </w:rPr>
            </w:pPr>
            <w:r>
              <w:rPr>
                <w:rFonts w:hint="eastAsia" w:ascii="宋体" w:hAnsi="宋体" w:eastAsia="宋体" w:cs="宋体"/>
                <w:kern w:val="0"/>
                <w:sz w:val="21"/>
                <w:szCs w:val="21"/>
              </w:rPr>
              <w:t>4</w:t>
            </w:r>
          </w:p>
        </w:tc>
        <w:tc>
          <w:tcPr>
            <w:tcW w:w="892"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 w:val="21"/>
                <w:szCs w:val="21"/>
              </w:rPr>
            </w:pPr>
            <w:r>
              <w:rPr>
                <w:rFonts w:hint="eastAsia" w:ascii="宋体" w:hAnsi="宋体" w:eastAsia="宋体" w:cs="宋体"/>
                <w:kern w:val="0"/>
                <w:sz w:val="21"/>
                <w:szCs w:val="21"/>
              </w:rPr>
              <w:t>3</w:t>
            </w:r>
          </w:p>
        </w:tc>
        <w:tc>
          <w:tcPr>
            <w:tcW w:w="892"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 w:val="21"/>
                <w:szCs w:val="21"/>
              </w:rPr>
            </w:pPr>
            <w:r>
              <w:rPr>
                <w:rFonts w:hint="eastAsia" w:ascii="宋体" w:hAnsi="宋体" w:eastAsia="宋体" w:cs="宋体"/>
                <w:kern w:val="0"/>
                <w:sz w:val="21"/>
                <w:szCs w:val="21"/>
              </w:rPr>
              <w:t>2.5</w:t>
            </w:r>
          </w:p>
        </w:tc>
        <w:tc>
          <w:tcPr>
            <w:tcW w:w="951"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 w:val="21"/>
                <w:szCs w:val="21"/>
              </w:rPr>
            </w:pPr>
            <w:r>
              <w:rPr>
                <w:rFonts w:hint="eastAsia" w:ascii="宋体" w:hAnsi="宋体" w:eastAsia="宋体" w:cs="宋体"/>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96" w:type="dxa"/>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 w:val="21"/>
                <w:szCs w:val="21"/>
              </w:rPr>
            </w:pPr>
            <w:r>
              <w:rPr>
                <w:rFonts w:hint="eastAsia" w:ascii="宋体" w:hAnsi="宋体" w:eastAsia="宋体" w:cs="宋体"/>
                <w:kern w:val="0"/>
                <w:sz w:val="21"/>
                <w:szCs w:val="21"/>
              </w:rPr>
              <w:t>学生骨干</w:t>
            </w:r>
          </w:p>
        </w:tc>
        <w:tc>
          <w:tcPr>
            <w:tcW w:w="892"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 w:val="21"/>
                <w:szCs w:val="21"/>
              </w:rPr>
            </w:pPr>
            <w:r>
              <w:rPr>
                <w:rFonts w:hint="eastAsia" w:ascii="宋体" w:hAnsi="宋体" w:eastAsia="宋体" w:cs="宋体"/>
                <w:kern w:val="0"/>
                <w:sz w:val="21"/>
                <w:szCs w:val="21"/>
              </w:rPr>
              <w:t>3</w:t>
            </w:r>
          </w:p>
        </w:tc>
        <w:tc>
          <w:tcPr>
            <w:tcW w:w="892"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 w:val="21"/>
                <w:szCs w:val="21"/>
              </w:rPr>
            </w:pPr>
            <w:r>
              <w:rPr>
                <w:rFonts w:hint="eastAsia" w:ascii="宋体" w:hAnsi="宋体" w:eastAsia="宋体" w:cs="宋体"/>
                <w:kern w:val="0"/>
                <w:sz w:val="21"/>
                <w:szCs w:val="21"/>
              </w:rPr>
              <w:t>2</w:t>
            </w:r>
          </w:p>
        </w:tc>
        <w:tc>
          <w:tcPr>
            <w:tcW w:w="892"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 w:val="21"/>
                <w:szCs w:val="21"/>
              </w:rPr>
            </w:pPr>
            <w:r>
              <w:rPr>
                <w:rFonts w:hint="eastAsia" w:ascii="宋体" w:hAnsi="宋体" w:eastAsia="宋体" w:cs="宋体"/>
                <w:kern w:val="0"/>
                <w:sz w:val="21"/>
                <w:szCs w:val="21"/>
              </w:rPr>
              <w:t>1.5</w:t>
            </w:r>
          </w:p>
        </w:tc>
        <w:tc>
          <w:tcPr>
            <w:tcW w:w="951"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 w:val="21"/>
                <w:szCs w:val="21"/>
              </w:rPr>
            </w:pPr>
            <w:r>
              <w:rPr>
                <w:rFonts w:hint="eastAsia" w:ascii="宋体" w:hAnsi="宋体" w:eastAsia="宋体" w:cs="宋体"/>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896" w:type="dxa"/>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 w:val="21"/>
                <w:szCs w:val="21"/>
              </w:rPr>
            </w:pPr>
            <w:r>
              <w:rPr>
                <w:rFonts w:hint="eastAsia" w:ascii="宋体" w:hAnsi="宋体" w:eastAsia="宋体" w:cs="宋体"/>
                <w:kern w:val="0"/>
                <w:sz w:val="21"/>
                <w:szCs w:val="21"/>
              </w:rPr>
              <w:t>其他学生干部</w:t>
            </w:r>
          </w:p>
        </w:tc>
        <w:tc>
          <w:tcPr>
            <w:tcW w:w="892"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 w:val="21"/>
                <w:szCs w:val="21"/>
              </w:rPr>
            </w:pPr>
            <w:r>
              <w:rPr>
                <w:rFonts w:hint="eastAsia" w:ascii="宋体" w:hAnsi="宋体" w:eastAsia="宋体" w:cs="宋体"/>
                <w:kern w:val="0"/>
                <w:sz w:val="21"/>
                <w:szCs w:val="21"/>
              </w:rPr>
              <w:t>2</w:t>
            </w:r>
          </w:p>
        </w:tc>
        <w:tc>
          <w:tcPr>
            <w:tcW w:w="892"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 w:val="21"/>
                <w:szCs w:val="21"/>
              </w:rPr>
            </w:pPr>
            <w:r>
              <w:rPr>
                <w:rFonts w:hint="eastAsia" w:ascii="宋体" w:hAnsi="宋体" w:eastAsia="宋体" w:cs="宋体"/>
                <w:kern w:val="0"/>
                <w:sz w:val="21"/>
                <w:szCs w:val="21"/>
              </w:rPr>
              <w:t>1.5</w:t>
            </w:r>
          </w:p>
        </w:tc>
        <w:tc>
          <w:tcPr>
            <w:tcW w:w="892"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 w:val="21"/>
                <w:szCs w:val="21"/>
              </w:rPr>
            </w:pPr>
            <w:r>
              <w:rPr>
                <w:rFonts w:hint="eastAsia" w:ascii="宋体" w:hAnsi="宋体" w:eastAsia="宋体" w:cs="宋体"/>
                <w:kern w:val="0"/>
                <w:sz w:val="21"/>
                <w:szCs w:val="21"/>
              </w:rPr>
              <w:t>1</w:t>
            </w:r>
          </w:p>
        </w:tc>
        <w:tc>
          <w:tcPr>
            <w:tcW w:w="951" w:type="dxa"/>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 w:val="21"/>
                <w:szCs w:val="21"/>
              </w:rPr>
            </w:pPr>
            <w:r>
              <w:rPr>
                <w:rFonts w:hint="eastAsia" w:ascii="宋体" w:hAnsi="宋体" w:eastAsia="宋体" w:cs="宋体"/>
                <w:kern w:val="0"/>
                <w:sz w:val="21"/>
                <w:szCs w:val="21"/>
              </w:rPr>
              <w:t>0</w:t>
            </w:r>
          </w:p>
        </w:tc>
      </w:tr>
    </w:tbl>
    <w:p>
      <w:pPr>
        <w:pStyle w:val="3"/>
        <w:keepNext w:val="0"/>
        <w:keepLines w:val="0"/>
        <w:pageBreakBefore w:val="0"/>
        <w:kinsoku/>
        <w:wordWrap/>
        <w:overflowPunct/>
        <w:topLinePunct w:val="0"/>
        <w:autoSpaceDE/>
        <w:autoSpaceDN/>
        <w:bidi w:val="0"/>
        <w:snapToGrid/>
        <w:spacing w:line="360" w:lineRule="auto"/>
        <w:ind w:firstLine="420" w:firstLineChars="200"/>
        <w:jc w:val="both"/>
        <w:textAlignment w:val="auto"/>
        <w:outlineLvl w:val="9"/>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2.主要学生干部包括学院学生会副主席以上级别，青年新媒体信息研究中心主任，各</w:t>
      </w:r>
      <w:r>
        <w:rPr>
          <w:rFonts w:hint="eastAsia" w:ascii="宋体" w:hAnsi="宋体"/>
        </w:rPr>
        <w:t>院</w:t>
      </w:r>
      <w:r>
        <w:rPr>
          <w:rFonts w:hint="eastAsia" w:ascii="宋体" w:hAnsi="宋体" w:cs="宋体"/>
          <w:color w:val="000000" w:themeColor="text1"/>
          <w:kern w:val="0"/>
          <w14:textFill>
            <w14:solidFill>
              <w14:schemeClr w14:val="tx1"/>
            </w14:solidFill>
          </w14:textFill>
        </w:rPr>
        <w:t>系学生会主席、团总支学生副书记。</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w:t>
      </w:r>
      <w:r>
        <w:rPr>
          <w:rFonts w:hint="eastAsia" w:ascii="宋体" w:hAnsi="宋体" w:eastAsia="宋体"/>
          <w:color w:val="000000" w:themeColor="text1"/>
          <w14:textFill>
            <w14:solidFill>
              <w14:schemeClr w14:val="tx1"/>
            </w14:solidFill>
          </w14:textFill>
        </w:rPr>
        <w:t>学生骨干包括校级组织副部长/副理事长级以上、各院系部长级以上。</w:t>
      </w:r>
      <w:r>
        <w:rPr>
          <w:rFonts w:hint="eastAsia" w:ascii="宋体" w:hAnsi="宋体" w:eastAsia="宋体" w:cs="宋体"/>
          <w:color w:val="000000" w:themeColor="text1"/>
          <w:kern w:val="0"/>
          <w14:textFill>
            <w14:solidFill>
              <w14:schemeClr w14:val="tx1"/>
            </w14:solidFill>
          </w14:textFill>
        </w:rPr>
        <w:t>（已列为主要学生干部的不在此序列）。</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4.其他学生干部包括校级学生组织的干事及社联之星。</w:t>
      </w:r>
      <w:r>
        <w:rPr>
          <w:rFonts w:hint="eastAsia" w:ascii="宋体" w:hAnsi="宋体" w:eastAsia="宋体"/>
          <w:color w:val="000000" w:themeColor="text1"/>
          <w14:textFill>
            <w14:solidFill>
              <w14:schemeClr w14:val="tx1"/>
            </w14:solidFill>
          </w14:textFill>
        </w:rPr>
        <w:t>每个组织可评一名优秀干事；</w:t>
      </w:r>
      <w:r>
        <w:rPr>
          <w:rFonts w:ascii="宋体" w:hAnsi="宋体" w:eastAsia="宋体"/>
          <w:color w:val="000000" w:themeColor="text1"/>
          <w14:textFill>
            <w14:solidFill>
              <w14:schemeClr w14:val="tx1"/>
            </w14:solidFill>
          </w14:textFill>
        </w:rPr>
        <w:t>社联之星</w:t>
      </w:r>
      <w:r>
        <w:rPr>
          <w:rFonts w:hint="eastAsia" w:ascii="宋体" w:hAnsi="宋体" w:eastAsia="宋体"/>
          <w:color w:val="000000" w:themeColor="text1"/>
          <w14:textFill>
            <w14:solidFill>
              <w14:schemeClr w14:val="tx1"/>
            </w14:solidFill>
          </w14:textFill>
        </w:rPr>
        <w:t>每年评选一次，每次12名。</w:t>
      </w:r>
      <w:r>
        <w:rPr>
          <w:rFonts w:hint="eastAsia" w:ascii="宋体" w:hAnsi="宋体" w:eastAsia="宋体" w:cs="宋体"/>
          <w:color w:val="000000" w:themeColor="text1"/>
          <w:kern w:val="0"/>
          <w14:textFill>
            <w14:solidFill>
              <w14:schemeClr w14:val="tx1"/>
            </w14:solidFill>
          </w14:textFill>
        </w:rPr>
        <w:t>（已列为主要学生骨干及学生骨干的不在此序列）</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rPr>
      </w:pPr>
      <w:r>
        <w:rPr>
          <w:rFonts w:hint="eastAsia" w:ascii="宋体" w:hAnsi="宋体" w:eastAsia="宋体" w:cs="宋体"/>
          <w:kern w:val="0"/>
        </w:rPr>
        <w:t>5.学院、院系各学生组织要每学年结束前进行一次考评，备案考评结果。（原则上优秀的比例不多于30%，称职的比例不多于50%，基本称职不多于20%。</w:t>
      </w:r>
      <w:r>
        <w:rPr>
          <w:rFonts w:ascii="宋体" w:hAnsi="宋体" w:eastAsia="宋体" w:cs="宋体"/>
          <w:kern w:val="0"/>
        </w:rPr>
        <w:t>）</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rPr>
      </w:pPr>
      <w:r>
        <w:rPr>
          <w:rFonts w:hint="eastAsia" w:ascii="宋体" w:hAnsi="宋体" w:eastAsia="宋体" w:cs="宋体"/>
          <w:kern w:val="0"/>
        </w:rPr>
        <w:t>6.各</w:t>
      </w:r>
      <w:r>
        <w:rPr>
          <w:rFonts w:hint="eastAsia" w:ascii="宋体" w:hAnsi="宋体" w:eastAsia="宋体"/>
        </w:rPr>
        <w:t>院</w:t>
      </w:r>
      <w:r>
        <w:rPr>
          <w:rFonts w:hint="eastAsia" w:ascii="宋体" w:hAnsi="宋体" w:eastAsia="宋体" w:cs="宋体"/>
          <w:kern w:val="0"/>
        </w:rPr>
        <w:t>系要对团总支、学生会、班委与团支部等所负责的学生干部，每学年进行一次考评，备案考评结果。（原则上优秀的比例不多于30%，称职的比例不多于50%，基本称职不多于20%</w:t>
      </w:r>
      <w:r>
        <w:rPr>
          <w:rFonts w:ascii="宋体" w:hAnsi="宋体" w:eastAsia="宋体" w:cs="宋体"/>
          <w:kern w:val="0"/>
        </w:rPr>
        <w:t>）</w:t>
      </w:r>
      <w:r>
        <w:rPr>
          <w:rFonts w:hint="eastAsia" w:ascii="宋体" w:hAnsi="宋体" w:eastAsia="宋体" w:cs="宋体"/>
          <w:kern w:val="0"/>
        </w:rPr>
        <w:t>。</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4"/>
        </w:rPr>
      </w:pPr>
      <w:r>
        <w:rPr>
          <w:rFonts w:hint="eastAsia" w:ascii="宋体" w:hAnsi="宋体" w:eastAsia="宋体" w:cs="宋体"/>
          <w:kern w:val="0"/>
        </w:rPr>
        <w:t>7.一名学生担任多个岗位的，只计一个岗位的加分值，不累加。</w:t>
      </w:r>
    </w:p>
    <w:p>
      <w:pPr>
        <w:keepNext w:val="0"/>
        <w:keepLines w:val="0"/>
        <w:pageBreakBefore w:val="0"/>
        <w:widowControl/>
        <w:kinsoku/>
        <w:wordWrap/>
        <w:overflowPunct/>
        <w:topLinePunct w:val="0"/>
        <w:autoSpaceDE/>
        <w:autoSpaceDN/>
        <w:bidi w:val="0"/>
        <w:snapToGrid/>
        <w:spacing w:line="360" w:lineRule="auto"/>
        <w:ind w:firstLine="413" w:firstLineChars="196"/>
        <w:jc w:val="both"/>
        <w:textAlignment w:val="auto"/>
        <w:outlineLvl w:val="9"/>
        <w:rPr>
          <w:rFonts w:ascii="宋体" w:hAnsi="宋体" w:eastAsia="宋体" w:cs="宋体"/>
          <w:b/>
          <w:kern w:val="0"/>
          <w:szCs w:val="21"/>
        </w:rPr>
      </w:pPr>
      <w:r>
        <w:rPr>
          <w:rFonts w:hint="eastAsia" w:ascii="宋体" w:hAnsi="宋体" w:eastAsia="宋体" w:cs="宋体"/>
          <w:b/>
          <w:kern w:val="0"/>
          <w:szCs w:val="21"/>
        </w:rPr>
        <w:t>（四）知识与技能加分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1.获得普通话证书一级甲等、一级乙等、二级甲等者，分别加2分、1分、0.5分。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2.获得专业职业资格证书高级、中级、初级者，每证分别加6分、4分、2分。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3.外语等级考试通过者，按如下标准加分（英语专业的学生通过大学英语四、六级不加分；同年同时通过四、六级，按高级别加分）：</w:t>
      </w:r>
    </w:p>
    <w:tbl>
      <w:tblPr>
        <w:tblStyle w:val="10"/>
        <w:tblW w:w="6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427"/>
        <w:gridCol w:w="1308"/>
        <w:gridCol w:w="1428"/>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1308" w:type="dxa"/>
            <w:vMerge w:val="restart"/>
            <w:tcBorders>
              <w:left w:val="double" w:color="auto" w:sz="4" w:space="0"/>
              <w:tl2br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kern w:val="0"/>
                <w:szCs w:val="21"/>
              </w:rPr>
              <w:t xml:space="preserve">    </w:t>
            </w:r>
            <w:r>
              <w:rPr>
                <w:rFonts w:hint="eastAsia" w:ascii="宋体" w:hAnsi="宋体" w:eastAsia="宋体" w:cs="宋体"/>
                <w:b/>
                <w:kern w:val="0"/>
                <w:szCs w:val="21"/>
              </w:rPr>
              <w:t>类别</w:t>
            </w:r>
          </w:p>
          <w:p>
            <w:pPr>
              <w:keepNext w:val="0"/>
              <w:keepLines w:val="0"/>
              <w:pageBreakBefore w:val="0"/>
              <w:widowControl/>
              <w:kinsoku/>
              <w:wordWrap/>
              <w:overflowPunct/>
              <w:topLinePunct w:val="0"/>
              <w:autoSpaceDE/>
              <w:autoSpaceDN/>
              <w:bidi w:val="0"/>
              <w:snapToGrid/>
              <w:spacing w:line="360" w:lineRule="auto"/>
              <w:ind w:firstLine="105" w:firstLineChars="50"/>
              <w:jc w:val="both"/>
              <w:textAlignment w:val="auto"/>
              <w:outlineLvl w:val="9"/>
              <w:rPr>
                <w:rFonts w:ascii="宋体" w:hAnsi="宋体" w:eastAsia="宋体" w:cs="宋体"/>
                <w:b/>
                <w:kern w:val="0"/>
                <w:szCs w:val="21"/>
              </w:rPr>
            </w:pPr>
          </w:p>
          <w:p>
            <w:pPr>
              <w:keepNext w:val="0"/>
              <w:keepLines w:val="0"/>
              <w:pageBreakBefore w:val="0"/>
              <w:widowControl/>
              <w:kinsoku/>
              <w:wordWrap/>
              <w:overflowPunct/>
              <w:topLinePunct w:val="0"/>
              <w:autoSpaceDE/>
              <w:autoSpaceDN/>
              <w:bidi w:val="0"/>
              <w:snapToGrid/>
              <w:spacing w:line="360" w:lineRule="auto"/>
              <w:ind w:firstLine="105" w:firstLineChars="50"/>
              <w:jc w:val="both"/>
              <w:textAlignment w:val="auto"/>
              <w:outlineLvl w:val="9"/>
              <w:rPr>
                <w:rFonts w:ascii="宋体" w:hAnsi="宋体" w:eastAsia="宋体" w:cs="宋体"/>
                <w:kern w:val="0"/>
                <w:szCs w:val="21"/>
              </w:rPr>
            </w:pPr>
            <w:r>
              <w:rPr>
                <w:rFonts w:hint="eastAsia" w:ascii="宋体" w:hAnsi="宋体" w:eastAsia="宋体" w:cs="宋体"/>
                <w:b/>
                <w:kern w:val="0"/>
                <w:szCs w:val="21"/>
              </w:rPr>
              <w:t xml:space="preserve">加分 </w:t>
            </w:r>
            <w:r>
              <w:rPr>
                <w:rFonts w:hint="eastAsia" w:ascii="宋体" w:hAnsi="宋体" w:eastAsia="宋体" w:cs="宋体"/>
                <w:kern w:val="0"/>
                <w:szCs w:val="21"/>
              </w:rPr>
              <w:t xml:space="preserve"> </w:t>
            </w:r>
          </w:p>
        </w:tc>
        <w:tc>
          <w:tcPr>
            <w:tcW w:w="5473" w:type="dxa"/>
            <w:gridSpan w:val="4"/>
            <w:tcBorders>
              <w:top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外语本科专业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exact"/>
          <w:jc w:val="center"/>
        </w:trPr>
        <w:tc>
          <w:tcPr>
            <w:tcW w:w="1308" w:type="dxa"/>
            <w:vMerge w:val="continue"/>
            <w:tcBorders>
              <w:lef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p>
        </w:tc>
        <w:tc>
          <w:tcPr>
            <w:tcW w:w="1427"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专业四级</w:t>
            </w: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（及格）</w:t>
            </w:r>
          </w:p>
        </w:tc>
        <w:tc>
          <w:tcPr>
            <w:tcW w:w="1308"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专业四级（80分以上）</w:t>
            </w:r>
          </w:p>
        </w:tc>
        <w:tc>
          <w:tcPr>
            <w:tcW w:w="1428" w:type="dxa"/>
            <w:tcBorders>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专业八级</w:t>
            </w: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（及格）</w:t>
            </w:r>
          </w:p>
        </w:tc>
        <w:tc>
          <w:tcPr>
            <w:tcW w:w="1310" w:type="dxa"/>
            <w:tcBorders>
              <w:left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专业八级</w:t>
            </w: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（80分以上）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1308" w:type="dxa"/>
            <w:tcBorders>
              <w:lef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加分值</w:t>
            </w:r>
          </w:p>
        </w:tc>
        <w:tc>
          <w:tcPr>
            <w:tcW w:w="1427"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1308"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1428" w:type="dxa"/>
            <w:tcBorders>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1310" w:type="dxa"/>
            <w:tcBorders>
              <w:left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1308" w:type="dxa"/>
            <w:vMerge w:val="restart"/>
            <w:tcBorders>
              <w:left w:val="double" w:color="auto" w:sz="4" w:space="0"/>
              <w:tl2br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kern w:val="0"/>
                <w:szCs w:val="21"/>
              </w:rPr>
              <w:t xml:space="preserve">    </w:t>
            </w:r>
            <w:r>
              <w:rPr>
                <w:rFonts w:hint="eastAsia" w:ascii="宋体" w:hAnsi="宋体" w:eastAsia="宋体" w:cs="宋体"/>
                <w:b/>
                <w:kern w:val="0"/>
                <w:szCs w:val="21"/>
              </w:rPr>
              <w:t>类别</w:t>
            </w: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b/>
                <w:kern w:val="0"/>
                <w:szCs w:val="21"/>
              </w:rPr>
              <w:t xml:space="preserve">加分   </w:t>
            </w:r>
            <w:r>
              <w:rPr>
                <w:rFonts w:hint="eastAsia" w:ascii="宋体" w:hAnsi="宋体" w:eastAsia="宋体" w:cs="宋体"/>
                <w:kern w:val="0"/>
                <w:szCs w:val="21"/>
              </w:rPr>
              <w:t xml:space="preserve">  </w:t>
            </w:r>
          </w:p>
        </w:tc>
        <w:tc>
          <w:tcPr>
            <w:tcW w:w="5473" w:type="dxa"/>
            <w:gridSpan w:val="4"/>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非英语本科专业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exact"/>
          <w:jc w:val="center"/>
        </w:trPr>
        <w:tc>
          <w:tcPr>
            <w:tcW w:w="1308" w:type="dxa"/>
            <w:vMerge w:val="continue"/>
            <w:tcBorders>
              <w:lef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p>
        </w:tc>
        <w:tc>
          <w:tcPr>
            <w:tcW w:w="2735" w:type="dxa"/>
            <w:gridSpan w:val="2"/>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四级</w:t>
            </w:r>
          </w:p>
        </w:tc>
        <w:tc>
          <w:tcPr>
            <w:tcW w:w="2738"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5" w:hRule="exact"/>
          <w:jc w:val="center"/>
        </w:trPr>
        <w:tc>
          <w:tcPr>
            <w:tcW w:w="1308" w:type="dxa"/>
            <w:tcBorders>
              <w:lef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加分值</w:t>
            </w:r>
          </w:p>
        </w:tc>
        <w:tc>
          <w:tcPr>
            <w:tcW w:w="2735" w:type="dxa"/>
            <w:gridSpan w:val="2"/>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1.5</w:t>
            </w:r>
          </w:p>
        </w:tc>
        <w:tc>
          <w:tcPr>
            <w:tcW w:w="2738" w:type="dxa"/>
            <w:gridSpan w:val="2"/>
            <w:tcBorders>
              <w:righ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2.5</w:t>
            </w:r>
          </w:p>
        </w:tc>
      </w:tr>
    </w:tbl>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4.计算机等级考试通过者，在通过学年按如下标准加分：</w:t>
      </w:r>
    </w:p>
    <w:tbl>
      <w:tblPr>
        <w:tblStyle w:val="10"/>
        <w:tblW w:w="66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86"/>
        <w:gridCol w:w="38"/>
        <w:gridCol w:w="658"/>
        <w:gridCol w:w="69"/>
        <w:gridCol w:w="724"/>
        <w:gridCol w:w="49"/>
        <w:gridCol w:w="677"/>
        <w:gridCol w:w="25"/>
        <w:gridCol w:w="704"/>
        <w:gridCol w:w="702"/>
        <w:gridCol w:w="23"/>
        <w:gridCol w:w="678"/>
        <w:gridCol w:w="46"/>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851" w:type="dxa"/>
            <w:tcBorders>
              <w:top w:val="double" w:color="auto" w:sz="4" w:space="0"/>
              <w:lef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科别</w:t>
            </w:r>
          </w:p>
        </w:tc>
        <w:tc>
          <w:tcPr>
            <w:tcW w:w="5805" w:type="dxa"/>
            <w:gridSpan w:val="14"/>
            <w:tcBorders>
              <w:top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非计算机专业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851" w:type="dxa"/>
            <w:vMerge w:val="restart"/>
            <w:tcBorders>
              <w:lef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等级</w:t>
            </w:r>
          </w:p>
        </w:tc>
        <w:tc>
          <w:tcPr>
            <w:tcW w:w="1451" w:type="dxa"/>
            <w:gridSpan w:val="4"/>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一级</w:t>
            </w:r>
          </w:p>
        </w:tc>
        <w:tc>
          <w:tcPr>
            <w:tcW w:w="1450" w:type="dxa"/>
            <w:gridSpan w:val="3"/>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二级</w:t>
            </w:r>
          </w:p>
        </w:tc>
        <w:tc>
          <w:tcPr>
            <w:tcW w:w="1454" w:type="dxa"/>
            <w:gridSpan w:val="4"/>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三级</w:t>
            </w:r>
          </w:p>
        </w:tc>
        <w:tc>
          <w:tcPr>
            <w:tcW w:w="1450" w:type="dxa"/>
            <w:gridSpan w:val="3"/>
            <w:tcBorders>
              <w:righ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851" w:type="dxa"/>
            <w:vMerge w:val="continue"/>
            <w:tcBorders>
              <w:lef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p>
        </w:tc>
        <w:tc>
          <w:tcPr>
            <w:tcW w:w="724" w:type="dxa"/>
            <w:gridSpan w:val="2"/>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合格</w:t>
            </w:r>
          </w:p>
        </w:tc>
        <w:tc>
          <w:tcPr>
            <w:tcW w:w="727" w:type="dxa"/>
            <w:gridSpan w:val="2"/>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优秀</w:t>
            </w:r>
          </w:p>
        </w:tc>
        <w:tc>
          <w:tcPr>
            <w:tcW w:w="724" w:type="dxa"/>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合格</w:t>
            </w:r>
          </w:p>
        </w:tc>
        <w:tc>
          <w:tcPr>
            <w:tcW w:w="726" w:type="dxa"/>
            <w:gridSpan w:val="2"/>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优秀</w:t>
            </w:r>
          </w:p>
        </w:tc>
        <w:tc>
          <w:tcPr>
            <w:tcW w:w="729" w:type="dxa"/>
            <w:gridSpan w:val="2"/>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合格</w:t>
            </w:r>
          </w:p>
        </w:tc>
        <w:tc>
          <w:tcPr>
            <w:tcW w:w="725" w:type="dxa"/>
            <w:gridSpan w:val="2"/>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优秀</w:t>
            </w:r>
          </w:p>
        </w:tc>
        <w:tc>
          <w:tcPr>
            <w:tcW w:w="724" w:type="dxa"/>
            <w:gridSpan w:val="2"/>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合格</w:t>
            </w:r>
          </w:p>
        </w:tc>
        <w:tc>
          <w:tcPr>
            <w:tcW w:w="726" w:type="dxa"/>
            <w:tcBorders>
              <w:righ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851" w:type="dxa"/>
            <w:tcBorders>
              <w:lef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加分值</w:t>
            </w:r>
          </w:p>
        </w:tc>
        <w:tc>
          <w:tcPr>
            <w:tcW w:w="724" w:type="dxa"/>
            <w:gridSpan w:val="2"/>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c>
          <w:tcPr>
            <w:tcW w:w="727" w:type="dxa"/>
            <w:gridSpan w:val="2"/>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724"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726" w:type="dxa"/>
            <w:gridSpan w:val="2"/>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729" w:type="dxa"/>
            <w:gridSpan w:val="2"/>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725" w:type="dxa"/>
            <w:gridSpan w:val="2"/>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724" w:type="dxa"/>
            <w:gridSpan w:val="2"/>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726" w:type="dxa"/>
            <w:tcBorders>
              <w:righ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851" w:type="dxa"/>
            <w:tcBorders>
              <w:lef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科别</w:t>
            </w:r>
          </w:p>
        </w:tc>
        <w:tc>
          <w:tcPr>
            <w:tcW w:w="5805" w:type="dxa"/>
            <w:gridSpan w:val="14"/>
            <w:tcBorders>
              <w:righ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计算机专业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12" w:hRule="atLeast"/>
          <w:jc w:val="center"/>
        </w:trPr>
        <w:tc>
          <w:tcPr>
            <w:tcW w:w="851" w:type="dxa"/>
            <w:vMerge w:val="restart"/>
            <w:tcBorders>
              <w:lef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等级</w:t>
            </w:r>
          </w:p>
        </w:tc>
        <w:tc>
          <w:tcPr>
            <w:tcW w:w="1382" w:type="dxa"/>
            <w:gridSpan w:val="3"/>
            <w:tcBorders>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一级</w:t>
            </w:r>
          </w:p>
        </w:tc>
        <w:tc>
          <w:tcPr>
            <w:tcW w:w="1544" w:type="dxa"/>
            <w:gridSpan w:val="5"/>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二级</w:t>
            </w:r>
          </w:p>
        </w:tc>
        <w:tc>
          <w:tcPr>
            <w:tcW w:w="1406"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三级</w:t>
            </w:r>
          </w:p>
        </w:tc>
        <w:tc>
          <w:tcPr>
            <w:tcW w:w="1473" w:type="dxa"/>
            <w:gridSpan w:val="4"/>
            <w:tcBorders>
              <w:left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851" w:type="dxa"/>
            <w:vMerge w:val="continue"/>
            <w:tcBorders>
              <w:lef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p>
        </w:tc>
        <w:tc>
          <w:tcPr>
            <w:tcW w:w="686" w:type="dxa"/>
            <w:tcBorders>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合格</w:t>
            </w:r>
          </w:p>
        </w:tc>
        <w:tc>
          <w:tcPr>
            <w:tcW w:w="696"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优秀</w:t>
            </w:r>
          </w:p>
        </w:tc>
        <w:tc>
          <w:tcPr>
            <w:tcW w:w="842"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合格</w:t>
            </w:r>
          </w:p>
        </w:tc>
        <w:tc>
          <w:tcPr>
            <w:tcW w:w="702"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优秀</w:t>
            </w:r>
          </w:p>
        </w:tc>
        <w:tc>
          <w:tcPr>
            <w:tcW w:w="70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合格</w:t>
            </w:r>
          </w:p>
        </w:tc>
        <w:tc>
          <w:tcPr>
            <w:tcW w:w="70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优秀</w:t>
            </w:r>
          </w:p>
        </w:tc>
        <w:tc>
          <w:tcPr>
            <w:tcW w:w="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合格</w:t>
            </w:r>
          </w:p>
        </w:tc>
        <w:tc>
          <w:tcPr>
            <w:tcW w:w="772" w:type="dxa"/>
            <w:gridSpan w:val="2"/>
            <w:tcBorders>
              <w:left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851" w:type="dxa"/>
            <w:tcBorders>
              <w:lef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br w:type="page"/>
            </w:r>
            <w:r>
              <w:rPr>
                <w:rFonts w:hint="eastAsia" w:ascii="宋体" w:hAnsi="宋体" w:eastAsia="宋体" w:cs="宋体"/>
                <w:kern w:val="0"/>
                <w:szCs w:val="21"/>
              </w:rPr>
              <w:t>加分值</w:t>
            </w:r>
          </w:p>
        </w:tc>
        <w:tc>
          <w:tcPr>
            <w:tcW w:w="686" w:type="dxa"/>
            <w:tcBorders>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0</w:t>
            </w:r>
          </w:p>
        </w:tc>
        <w:tc>
          <w:tcPr>
            <w:tcW w:w="696"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c>
          <w:tcPr>
            <w:tcW w:w="842"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c>
          <w:tcPr>
            <w:tcW w:w="702"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70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702"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772" w:type="dxa"/>
            <w:gridSpan w:val="2"/>
            <w:tcBorders>
              <w:left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r>
    </w:tbl>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5.科技竞赛、学术研究或科技创新成果获奖。</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（1）在各级科技竞赛、学术研究或科技创新成果展示中获奖者，按如下标准加分：</w:t>
      </w:r>
    </w:p>
    <w:tbl>
      <w:tblPr>
        <w:tblStyle w:val="10"/>
        <w:tblW w:w="6579"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439"/>
        <w:gridCol w:w="1118"/>
        <w:gridCol w:w="1028"/>
        <w:gridCol w:w="1067"/>
        <w:gridCol w:w="927"/>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63" w:hRule="atLeast"/>
          <w:jc w:val="center"/>
        </w:trPr>
        <w:tc>
          <w:tcPr>
            <w:tcW w:w="2439"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等级</w:t>
            </w:r>
          </w:p>
        </w:tc>
        <w:tc>
          <w:tcPr>
            <w:tcW w:w="111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一等奖</w:t>
            </w:r>
          </w:p>
        </w:tc>
        <w:tc>
          <w:tcPr>
            <w:tcW w:w="102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二等奖</w:t>
            </w:r>
          </w:p>
        </w:tc>
        <w:tc>
          <w:tcPr>
            <w:tcW w:w="1067"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三等奖</w:t>
            </w:r>
          </w:p>
        </w:tc>
        <w:tc>
          <w:tcPr>
            <w:tcW w:w="927"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其他奖</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81" w:hRule="atLeast"/>
          <w:jc w:val="center"/>
        </w:trPr>
        <w:tc>
          <w:tcPr>
            <w:tcW w:w="2439"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国家级</w:t>
            </w:r>
          </w:p>
        </w:tc>
        <w:tc>
          <w:tcPr>
            <w:tcW w:w="111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10</w:t>
            </w:r>
          </w:p>
        </w:tc>
        <w:tc>
          <w:tcPr>
            <w:tcW w:w="102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8</w:t>
            </w:r>
          </w:p>
        </w:tc>
        <w:tc>
          <w:tcPr>
            <w:tcW w:w="1067"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c>
          <w:tcPr>
            <w:tcW w:w="927"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5</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2" w:hRule="atLeast"/>
          <w:jc w:val="center"/>
        </w:trPr>
        <w:tc>
          <w:tcPr>
            <w:tcW w:w="2439"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省级</w:t>
            </w:r>
          </w:p>
        </w:tc>
        <w:tc>
          <w:tcPr>
            <w:tcW w:w="111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8</w:t>
            </w:r>
          </w:p>
        </w:tc>
        <w:tc>
          <w:tcPr>
            <w:tcW w:w="102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c>
          <w:tcPr>
            <w:tcW w:w="1067"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927"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2" w:hRule="atLeast"/>
          <w:jc w:val="center"/>
        </w:trPr>
        <w:tc>
          <w:tcPr>
            <w:tcW w:w="2439"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市级（含中大级）</w:t>
            </w:r>
          </w:p>
        </w:tc>
        <w:tc>
          <w:tcPr>
            <w:tcW w:w="111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c>
          <w:tcPr>
            <w:tcW w:w="102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1067"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927"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2" w:hRule="atLeast"/>
          <w:jc w:val="center"/>
        </w:trPr>
        <w:tc>
          <w:tcPr>
            <w:tcW w:w="2439"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院级（含从化级）</w:t>
            </w:r>
          </w:p>
        </w:tc>
        <w:tc>
          <w:tcPr>
            <w:tcW w:w="111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102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1067"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927"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PrEx>
        <w:trPr>
          <w:trHeight w:val="452" w:hRule="atLeast"/>
          <w:jc w:val="center"/>
        </w:trPr>
        <w:tc>
          <w:tcPr>
            <w:tcW w:w="2439"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系级</w:t>
            </w:r>
          </w:p>
        </w:tc>
        <w:tc>
          <w:tcPr>
            <w:tcW w:w="111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102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1067"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w:t>
            </w:r>
          </w:p>
        </w:tc>
        <w:tc>
          <w:tcPr>
            <w:tcW w:w="927"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r>
    </w:tbl>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（2）一人参加同一项竞赛或科研活动获多项奖的按最高项计分一次，不累加。</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3）评奖不分等级时按三等奖加分；若以名次计，第1名按一等奖加分，第2、3名按二等奖加分，第4名及以后按三等奖加分；若取前三名者，分别按一、二、三等奖加分。若以金、银、铜奖计，按一、二、三等奖加分；若有特等奖，可在一等奖分值基础上加1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（4）一项成果由多人共同完成的，署名第一者按相应级别加分，署名第二者比第一者减1分加分，其余者比第一者减2分加分。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（5）学生拥有科研成果或研制出科研产品，经两名以上专家、教授推荐并通过学院主管部门审定，可适当加分，加分不超过12分 。</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6.发表专业学术论文或文章。</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（1）在国家正式刊物上发表专业学术论文者，按如下标准加分：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p>
    <w:tbl>
      <w:tblPr>
        <w:tblStyle w:val="10"/>
        <w:tblW w:w="6574"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494"/>
        <w:gridCol w:w="1418"/>
        <w:gridCol w:w="1276"/>
        <w:gridCol w:w="1386"/>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69" w:hRule="atLeast"/>
          <w:jc w:val="center"/>
        </w:trPr>
        <w:tc>
          <w:tcPr>
            <w:tcW w:w="2494" w:type="dxa"/>
            <w:tcBorders>
              <w:left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等级</w:t>
            </w:r>
          </w:p>
        </w:tc>
        <w:tc>
          <w:tcPr>
            <w:tcW w:w="1418" w:type="dxa"/>
            <w:tcBorders>
              <w:left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第1-2作者</w:t>
            </w:r>
          </w:p>
        </w:tc>
        <w:tc>
          <w:tcPr>
            <w:tcW w:w="1276" w:type="dxa"/>
            <w:tcBorders>
              <w:left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第3-4作者</w:t>
            </w:r>
          </w:p>
        </w:tc>
        <w:tc>
          <w:tcPr>
            <w:tcW w:w="1386" w:type="dxa"/>
            <w:tcBorders>
              <w:left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b/>
                <w:kern w:val="0"/>
                <w:szCs w:val="21"/>
              </w:rPr>
            </w:pPr>
            <w:r>
              <w:rPr>
                <w:rFonts w:hint="eastAsia" w:ascii="宋体" w:hAnsi="宋体" w:eastAsia="宋体" w:cs="宋体"/>
                <w:b/>
                <w:kern w:val="0"/>
                <w:szCs w:val="21"/>
              </w:rPr>
              <w:t>第5-8作者</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69" w:hRule="atLeast"/>
          <w:jc w:val="center"/>
        </w:trPr>
        <w:tc>
          <w:tcPr>
            <w:tcW w:w="2494"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国内顶级学术期刊</w:t>
            </w:r>
          </w:p>
        </w:tc>
        <w:tc>
          <w:tcPr>
            <w:tcW w:w="141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10</w:t>
            </w:r>
          </w:p>
        </w:tc>
        <w:tc>
          <w:tcPr>
            <w:tcW w:w="1276"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8</w:t>
            </w:r>
          </w:p>
        </w:tc>
        <w:tc>
          <w:tcPr>
            <w:tcW w:w="1386"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69" w:hRule="atLeast"/>
          <w:jc w:val="center"/>
        </w:trPr>
        <w:tc>
          <w:tcPr>
            <w:tcW w:w="2494"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国内特级学术期刊</w:t>
            </w:r>
          </w:p>
        </w:tc>
        <w:tc>
          <w:tcPr>
            <w:tcW w:w="141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8</w:t>
            </w:r>
          </w:p>
        </w:tc>
        <w:tc>
          <w:tcPr>
            <w:tcW w:w="1276"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c>
          <w:tcPr>
            <w:tcW w:w="1386"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69" w:hRule="atLeast"/>
          <w:jc w:val="center"/>
        </w:trPr>
        <w:tc>
          <w:tcPr>
            <w:tcW w:w="2494"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国内学术期刊名录一级A类</w:t>
            </w:r>
          </w:p>
        </w:tc>
        <w:tc>
          <w:tcPr>
            <w:tcW w:w="141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w:t>
            </w:r>
          </w:p>
        </w:tc>
        <w:tc>
          <w:tcPr>
            <w:tcW w:w="1276"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1386"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69" w:hRule="atLeast"/>
          <w:jc w:val="center"/>
        </w:trPr>
        <w:tc>
          <w:tcPr>
            <w:tcW w:w="2494"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国内学术期刊名录一级B类</w:t>
            </w:r>
          </w:p>
        </w:tc>
        <w:tc>
          <w:tcPr>
            <w:tcW w:w="141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5</w:t>
            </w:r>
          </w:p>
        </w:tc>
        <w:tc>
          <w:tcPr>
            <w:tcW w:w="1276"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3</w:t>
            </w:r>
          </w:p>
        </w:tc>
        <w:tc>
          <w:tcPr>
            <w:tcW w:w="1386"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PrEx>
        <w:trPr>
          <w:trHeight w:val="369" w:hRule="atLeast"/>
          <w:jc w:val="center"/>
        </w:trPr>
        <w:tc>
          <w:tcPr>
            <w:tcW w:w="2494"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ascii="宋体" w:hAnsi="宋体" w:eastAsia="宋体" w:cs="宋体"/>
                <w:kern w:val="0"/>
                <w:szCs w:val="21"/>
              </w:rPr>
            </w:pPr>
            <w:r>
              <w:rPr>
                <w:rFonts w:hint="eastAsia" w:ascii="宋体" w:hAnsi="宋体" w:eastAsia="宋体" w:cs="宋体"/>
                <w:kern w:val="0"/>
                <w:szCs w:val="21"/>
              </w:rPr>
              <w:t>国内二级学术期刊</w:t>
            </w:r>
          </w:p>
        </w:tc>
        <w:tc>
          <w:tcPr>
            <w:tcW w:w="141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4</w:t>
            </w:r>
          </w:p>
        </w:tc>
        <w:tc>
          <w:tcPr>
            <w:tcW w:w="1276"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2</w:t>
            </w:r>
          </w:p>
        </w:tc>
        <w:tc>
          <w:tcPr>
            <w:tcW w:w="1386"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w:t>
            </w:r>
          </w:p>
        </w:tc>
      </w:tr>
    </w:tbl>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（2）发表期刊等级以《浙江理工大学国内学术期刊分级名录》为标准。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（3）在国家级、省级、市级（含中大级）正式出版物上发表文章但并未评奖，第一作者可分别加6分、4分、3分； 一篇文章署名多位作者，第一作者按相应级别加分，其余作者加分以署名的前后排序依次递减1分。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4）在《中山大学南方学院院报》《南方论丛》（之后新增校级刊物以学院认定为准）这两种校级报刊上发表作品（注：非新闻类作品）的，每篇文章第一作者加0.5分，第二作者及后面作者不加分。在系级刊物上发表文章的，每篇文章第一作者加0.3分，第二作者及后面作者不加分。累计不超过2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（5）在校外公开发行刊物上发表作品，每篇幅加0.5分，累计不超过2分。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（6）发表了专业学术论文或文章，同时又获得竞赛性名次评定的，按照单次最高奖励分加分，不累加。</w:t>
      </w:r>
    </w:p>
    <w:p>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outlineLvl w:val="9"/>
        <w:rPr>
          <w:rFonts w:ascii="宋体" w:hAnsi="宋体" w:eastAsia="宋体" w:cs="宋体"/>
          <w:b/>
          <w:kern w:val="0"/>
          <w:szCs w:val="21"/>
        </w:rPr>
      </w:pPr>
      <w:r>
        <w:rPr>
          <w:rFonts w:hint="eastAsia" w:ascii="宋体" w:hAnsi="宋体" w:eastAsia="宋体" w:cs="宋体"/>
          <w:b/>
          <w:kern w:val="0"/>
          <w:szCs w:val="21"/>
        </w:rPr>
        <w:t>（五）日常操行减分项</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凡有下列情形之一者，在综合测评中给予扣分：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1.本学年度，学生违反校规校纪，受到留校察看处分的，扣10分；受到记过处分的，扣8分；受到严重警告/次，扣6分/次；受到警告等处分，扣4分/次；受到通报批评的扣3分/次。</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2.本学年度在系级文明宿舍评比中，宿舍卫生被评为不合格者，宿舍成员扣1分/次·人,舍长扣2分；在学院文明宿舍评比中，宿舍卫生被评为不合格者，宿舍成员扣2分/次·人，舍长扣3分。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3.违反学院宿舍管理及其它规章制度（例如晚归、酗酒等），尚不够纪律处分的，视情节轻重，扣1-2分/次。</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4.凡不遵守学习纪律，旷课扣2分/节，迟到、早退扣0.5分/次，迟到、早退三次按旷课一节计，多次者累计扣分。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5.无故缺席学院、系、班级组织的活动，扣0.5分/次。</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6.有失社会公德、扰乱公共秩序、违背校园文明的言行，不听教职工或管理人员劝阻，尚不够纪律处分的，扣2分/次。</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7.不讲诚信，通过提供虚假信息或者其他造假行为为自己谋利的，一经查实，视情节轻重扣3-5分/次。</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8.学期开学，无故不按照学院规定时间返校报到、注册或办理相关手续者，受系以上通报批评者，均扣3分/次，不累计扣分。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9.参加传销、法轮功等活动者，尚不构成处分的，视情节轻重扣3－4分。</w:t>
      </w:r>
    </w:p>
    <w:p>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outlineLvl w:val="9"/>
        <w:rPr>
          <w:rFonts w:ascii="宋体" w:hAnsi="宋体" w:eastAsia="宋体" w:cs="宋体"/>
          <w:kern w:val="0"/>
          <w:szCs w:val="21"/>
        </w:rPr>
      </w:pPr>
      <w:r>
        <w:rPr>
          <w:rFonts w:hint="eastAsia" w:ascii="宋体" w:hAnsi="宋体" w:eastAsia="宋体" w:cs="宋体"/>
          <w:b/>
          <w:kern w:val="0"/>
          <w:szCs w:val="21"/>
        </w:rPr>
        <w:t>（六）其他。</w:t>
      </w:r>
      <w:r>
        <w:rPr>
          <w:rFonts w:hint="eastAsia" w:ascii="宋体" w:hAnsi="宋体" w:eastAsia="宋体" w:cs="宋体"/>
          <w:kern w:val="0"/>
          <w:szCs w:val="21"/>
        </w:rPr>
        <w:t>对本办法未明确规定的各类、各级别的加分或减分项目，各系可参照本办法，根据实际制定相应加分或减分细则。</w:t>
      </w:r>
    </w:p>
    <w:p>
      <w:pPr>
        <w:keepNext w:val="0"/>
        <w:keepLines w:val="0"/>
        <w:pageBreakBefore w:val="0"/>
        <w:widowControl/>
        <w:kinsoku/>
        <w:wordWrap/>
        <w:overflowPunct/>
        <w:topLinePunct w:val="0"/>
        <w:autoSpaceDE/>
        <w:autoSpaceDN/>
        <w:bidi w:val="0"/>
        <w:adjustRightInd w:val="0"/>
        <w:snapToGrid/>
        <w:spacing w:line="360" w:lineRule="auto"/>
        <w:ind w:firstLine="422" w:firstLineChars="200"/>
        <w:jc w:val="both"/>
        <w:textAlignment w:val="auto"/>
        <w:outlineLvl w:val="9"/>
        <w:rPr>
          <w:rFonts w:ascii="宋体" w:hAnsi="宋体" w:eastAsia="宋体" w:cs="宋体"/>
          <w:b/>
          <w:kern w:val="0"/>
          <w:szCs w:val="21"/>
        </w:rPr>
      </w:pPr>
      <w:r>
        <w:rPr>
          <w:rFonts w:hint="eastAsia" w:ascii="宋体" w:hAnsi="宋体" w:eastAsia="宋体" w:cs="宋体"/>
          <w:b/>
          <w:kern w:val="0"/>
          <w:szCs w:val="21"/>
        </w:rPr>
        <w:t>第七条  学业能力测评</w:t>
      </w:r>
    </w:p>
    <w:p>
      <w:pPr>
        <w:keepNext w:val="0"/>
        <w:keepLines w:val="0"/>
        <w:pageBreakBefore w:val="0"/>
        <w:widowControl/>
        <w:kinsoku/>
        <w:wordWrap/>
        <w:overflowPunct/>
        <w:topLinePunct w:val="0"/>
        <w:autoSpaceDE/>
        <w:autoSpaceDN/>
        <w:bidi w:val="0"/>
        <w:adjustRightInd w:val="0"/>
        <w:snapToGrid/>
        <w:spacing w:line="360" w:lineRule="auto"/>
        <w:ind w:firstLine="422" w:firstLineChars="200"/>
        <w:jc w:val="both"/>
        <w:textAlignment w:val="auto"/>
        <w:outlineLvl w:val="9"/>
        <w:rPr>
          <w:rFonts w:ascii="宋体" w:hAnsi="宋体" w:eastAsia="宋体" w:cs="宋体"/>
          <w:b/>
          <w:kern w:val="0"/>
          <w:szCs w:val="21"/>
        </w:rPr>
      </w:pPr>
      <w:r>
        <w:rPr>
          <w:rFonts w:hint="eastAsia" w:ascii="宋体" w:hAnsi="宋体" w:eastAsia="宋体" w:cs="宋体"/>
          <w:b/>
          <w:kern w:val="0"/>
          <w:szCs w:val="21"/>
        </w:rPr>
        <w:t>（一）学业能力测评分的计算办法</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学业能力测评分（即学业成绩）以教务处公布的本学年度学生科目成绩为基准，根据学生实际考分和相应学分按下面公式计算：</w:t>
      </w:r>
    </w:p>
    <w:p>
      <w:pPr>
        <w:keepNext w:val="0"/>
        <w:keepLines w:val="0"/>
        <w:pageBreakBefore w:val="0"/>
        <w:widowControl/>
        <w:kinsoku/>
        <w:wordWrap/>
        <w:overflowPunct/>
        <w:topLinePunct w:val="0"/>
        <w:autoSpaceDE/>
        <w:autoSpaceDN/>
        <w:bidi w:val="0"/>
        <w:adjustRightInd w:val="0"/>
        <w:snapToGrid/>
        <w:spacing w:line="360" w:lineRule="auto"/>
        <w:jc w:val="both"/>
        <w:textAlignment w:val="auto"/>
        <w:outlineLvl w:val="9"/>
        <w:rPr>
          <w:rFonts w:ascii="宋体" w:hAnsi="宋体" w:eastAsia="宋体" w:cs="宋体"/>
          <w:kern w:val="0"/>
          <w:szCs w:val="21"/>
        </w:rPr>
      </w:pPr>
      <w:r>
        <w:rPr>
          <w:rFonts w:ascii="宋体" w:hAnsi="宋体" w:eastAsia="宋体" w:cs="宋体"/>
          <w:kern w:val="0"/>
          <w:szCs w:val="21"/>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55880</wp:posOffset>
                </wp:positionV>
                <wp:extent cx="1939925" cy="297180"/>
                <wp:effectExtent l="0" t="0" r="0" b="12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939925" cy="297180"/>
                        </a:xfrm>
                        <a:prstGeom prst="rect">
                          <a:avLst/>
                        </a:prstGeom>
                        <a:noFill/>
                        <a:ln>
                          <a:noFill/>
                        </a:ln>
                      </wps:spPr>
                      <wps:txbx>
                        <w:txbxContent>
                          <w:p>
                            <w:pPr>
                              <w:rPr>
                                <w:rFonts w:ascii="宋体" w:hAnsi="宋体" w:eastAsia="宋体"/>
                                <w:color w:val="auto"/>
                                <w:szCs w:val="21"/>
                              </w:rPr>
                            </w:pPr>
                            <w:r>
                              <w:rPr>
                                <w:rFonts w:hint="eastAsia" w:ascii="宋体" w:hAnsi="宋体" w:eastAsia="宋体"/>
                                <w:color w:val="auto"/>
                                <w:szCs w:val="21"/>
                              </w:rPr>
                              <w:t>∑（科目成绩×科目学分）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8pt;margin-top:4.4pt;height:23.4pt;width:152.75pt;z-index:251659264;mso-width-relative:page;mso-height-relative:page;" filled="f" stroked="f" coordsize="21600,21600" o:gfxdata="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bfYB9YAAAAIAQAADwAAAAAAAAABACAAAAAiAAAAZHJzL2Rvd25yZXYu&#10;eG1sUEsBAhQAFAAAAAgAh07iQNDOa5j9AQAAxwMAAA4AAAAAAAAAAQAgAAAAJQEAAGRycy9lMm9E&#10;b2MueG1sUEsFBgAAAAAGAAYAWQEAAJQFAAAAAA==&#10;">
                <v:fill on="f" focussize="0,0"/>
                <v:stroke on="f"/>
                <v:imagedata o:title=""/>
                <o:lock v:ext="edit" aspectratio="f"/>
                <v:textbox>
                  <w:txbxContent>
                    <w:p>
                      <w:pPr>
                        <w:rPr>
                          <w:rFonts w:ascii="宋体" w:hAnsi="宋体" w:eastAsia="宋体"/>
                          <w:color w:val="auto"/>
                          <w:szCs w:val="21"/>
                        </w:rPr>
                      </w:pPr>
                      <w:r>
                        <w:rPr>
                          <w:rFonts w:hint="eastAsia" w:ascii="宋体" w:hAnsi="宋体" w:eastAsia="宋体"/>
                          <w:color w:val="auto"/>
                          <w:szCs w:val="21"/>
                        </w:rPr>
                        <w:t>∑（科目成绩×科目学分）</w:t>
                      </w:r>
                    </w:p>
                  </w:txbxContent>
                </v:textbox>
              </v:shape>
            </w:pict>
          </mc:Fallback>
        </mc:AlternateConten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1370330</wp:posOffset>
                </wp:positionH>
                <wp:positionV relativeFrom="paragraph">
                  <wp:posOffset>132715</wp:posOffset>
                </wp:positionV>
                <wp:extent cx="1838325" cy="0"/>
                <wp:effectExtent l="0" t="0" r="0" b="0"/>
                <wp:wrapNone/>
                <wp:docPr id="1" name="直接连接符 1"/>
                <wp:cNvGraphicFramePr/>
                <a:graphic xmlns:a="http://schemas.openxmlformats.org/drawingml/2006/main">
                  <a:graphicData uri="http://schemas.microsoft.com/office/word/2010/wordprocessingShape">
                    <wps:wsp>
                      <wps:cNvCnPr/>
                      <wps:spPr>
                        <a:xfrm>
                          <a:off x="2513330" y="4811395"/>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7.9pt;margin-top:10.45pt;height:0pt;width:144.75pt;z-index:251662336;mso-width-relative:page;mso-height-relative:page;" filled="f" stroked="t" coordsize="21600,21600" o:gfxdata="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iCO&#10;L9gAAAAJAQAADwAAAAAAAAABACAAAAAiAAAAZHJzL2Rvd25yZXYueG1sUEsBAhQAFAAAAAgAh07i&#10;QNPtDB/pAQAAkQMAAA4AAAAAAAAAAQAgAAAAJwEAAGRycy9lMm9Eb2MueG1sUEsFBgAAAAAGAAYA&#10;WQEAAIIFAAAAAA==&#10;">
                <v:fill on="f" focussize="0,0"/>
                <v:stroke color="#4A7EBB [3204]" joinstyle="round"/>
                <v:imagedata o:title=""/>
                <o:lock v:ext="edit" aspectratio="f"/>
              </v:line>
            </w:pict>
          </mc:Fallback>
        </mc:AlternateContent>
      </w:r>
      <w:r>
        <w:rPr>
          <w:rFonts w:ascii="宋体" w:hAnsi="宋体" w:eastAsia="宋体" w:cs="宋体"/>
          <w:kern w:val="0"/>
          <w:szCs w:val="21"/>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154940</wp:posOffset>
                </wp:positionV>
                <wp:extent cx="1943100" cy="0"/>
                <wp:effectExtent l="7620" t="8255" r="11430" b="1079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8pt;margin-top:12.2pt;height:0pt;width:153pt;z-index:251660288;mso-width-relative:page;mso-height-relative:page;" filled="f" stroked="t" coordsize="21600,21600" o:gfxdata="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HVJ0XWAAAACQEAAA8AAAAAAAAAAQAgAAAAIgAAAGRycy9kb3du&#10;cmV2LnhtbFBLAQIUABQAAAAIAIdO4kCAXD2ByAEAAFwDAAAOAAAAAAAAAAEAIAAAACUBAABkcnMv&#10;ZTJvRG9jLnhtbFBLBQYAAAAABgAGAFkBAABfBQAAAAA=&#10;">
                <v:fill on="f" focussize="0,0"/>
                <v:stroke color="#000000" joinstyle="round"/>
                <v:imagedata o:title=""/>
                <o:lock v:ext="edit" aspectratio="f"/>
              </v:line>
            </w:pict>
          </mc:Fallback>
        </mc:AlternateContent>
      </w:r>
      <w:r>
        <w:rPr>
          <w:rFonts w:ascii="宋体" w:hAnsi="宋体" w:eastAsia="宋体" w:cs="宋体"/>
          <w:kern w:val="0"/>
          <w:szCs w:val="21"/>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154940</wp:posOffset>
                </wp:positionV>
                <wp:extent cx="2171700" cy="297180"/>
                <wp:effectExtent l="0" t="0" r="1905"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171700" cy="297180"/>
                        </a:xfrm>
                        <a:prstGeom prst="rect">
                          <a:avLst/>
                        </a:prstGeom>
                        <a:solidFill>
                          <a:srgbClr val="FFFFFF"/>
                        </a:solidFill>
                        <a:ln>
                          <a:noFill/>
                        </a:ln>
                      </wps:spPr>
                      <wps:txbx>
                        <w:txbxContent>
                          <w:p>
                            <w:pPr>
                              <w:ind w:firstLine="525" w:firstLineChars="250"/>
                              <w:rPr>
                                <w:rFonts w:ascii="宋体" w:hAnsi="宋体" w:eastAsia="宋体"/>
                                <w:szCs w:val="21"/>
                              </w:rPr>
                            </w:pPr>
                            <w:r>
                              <w:rPr>
                                <w:rFonts w:hint="eastAsia" w:ascii="宋体" w:hAnsi="宋体" w:eastAsia="宋体"/>
                                <w:szCs w:val="21"/>
                              </w:rPr>
                              <w:t>本学年度总学分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9pt;margin-top:12.2pt;height:23.4pt;width:171pt;z-index:251661312;mso-width-relative:page;mso-height-relative:page;" fillcolor="#FFFFFF" filled="t" stroked="f" coordsize="21600,21600" o:gfxdata="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PHnIfXAAAACQEAAA8AAAAAAAAAAQAg&#10;AAAAIgAAAGRycy9kb3ducmV2LnhtbFBLAQIUABQAAAAIAIdO4kCdFfslDwIAAPADAAAOAAAAAAAA&#10;AAEAIAAAACYBAABkcnMvZTJvRG9jLnhtbFBLBQYAAAAABgAGAFkBAACnBQAAAAA=&#10;">
                <v:fill on="t" focussize="0,0"/>
                <v:stroke on="f"/>
                <v:imagedata o:title=""/>
                <o:lock v:ext="edit" aspectratio="f"/>
                <v:textbox>
                  <w:txbxContent>
                    <w:p>
                      <w:pPr>
                        <w:ind w:firstLine="525" w:firstLineChars="250"/>
                        <w:rPr>
                          <w:rFonts w:ascii="宋体" w:hAnsi="宋体" w:eastAsia="宋体"/>
                          <w:szCs w:val="21"/>
                        </w:rPr>
                      </w:pPr>
                      <w:r>
                        <w:rPr>
                          <w:rFonts w:hint="eastAsia" w:ascii="宋体" w:hAnsi="宋体" w:eastAsia="宋体"/>
                          <w:szCs w:val="21"/>
                        </w:rPr>
                        <w:t>本学年度总学分</w:t>
                      </w:r>
                    </w:p>
                  </w:txbxContent>
                </v:textbox>
              </v:shape>
            </w:pict>
          </mc:Fallback>
        </mc:AlternateContent>
      </w:r>
      <w:r>
        <w:rPr>
          <w:rFonts w:hint="eastAsia" w:ascii="宋体" w:hAnsi="宋体" w:eastAsia="宋体" w:cs="宋体"/>
          <w:kern w:val="0"/>
          <w:szCs w:val="21"/>
        </w:rPr>
        <w:t xml:space="preserve">学业成绩＝                        </w:t>
      </w:r>
    </w:p>
    <w:p>
      <w:pPr>
        <w:keepNext w:val="0"/>
        <w:keepLines w:val="0"/>
        <w:pageBreakBefore w:val="0"/>
        <w:widowControl/>
        <w:kinsoku/>
        <w:wordWrap/>
        <w:overflowPunct/>
        <w:topLinePunct w:val="0"/>
        <w:autoSpaceDE/>
        <w:autoSpaceDN/>
        <w:bidi w:val="0"/>
        <w:snapToGrid/>
        <w:spacing w:line="360" w:lineRule="auto"/>
        <w:ind w:right="611" w:rightChars="291"/>
        <w:jc w:val="both"/>
        <w:textAlignment w:val="auto"/>
        <w:outlineLvl w:val="9"/>
        <w:rPr>
          <w:rFonts w:ascii="宋体" w:hAnsi="宋体" w:eastAsia="宋体" w:cs="宋体"/>
          <w:b/>
          <w:kern w:val="0"/>
          <w:szCs w:val="21"/>
        </w:rPr>
      </w:pPr>
    </w:p>
    <w:p>
      <w:pPr>
        <w:keepNext w:val="0"/>
        <w:keepLines w:val="0"/>
        <w:pageBreakBefore w:val="0"/>
        <w:widowControl/>
        <w:kinsoku/>
        <w:wordWrap/>
        <w:overflowPunct/>
        <w:topLinePunct w:val="0"/>
        <w:autoSpaceDE/>
        <w:autoSpaceDN/>
        <w:bidi w:val="0"/>
        <w:snapToGrid/>
        <w:spacing w:line="360" w:lineRule="auto"/>
        <w:ind w:right="611" w:rightChars="291" w:firstLine="413" w:firstLineChars="196"/>
        <w:jc w:val="both"/>
        <w:textAlignment w:val="auto"/>
        <w:outlineLvl w:val="9"/>
        <w:rPr>
          <w:rFonts w:ascii="宋体" w:hAnsi="宋体" w:eastAsia="宋体" w:cs="宋体"/>
          <w:b/>
          <w:kern w:val="0"/>
          <w:szCs w:val="21"/>
        </w:rPr>
      </w:pPr>
      <w:r>
        <w:rPr>
          <w:rFonts w:hint="eastAsia" w:ascii="宋体" w:hAnsi="宋体" w:eastAsia="宋体" w:cs="宋体"/>
          <w:b/>
          <w:kern w:val="0"/>
          <w:szCs w:val="21"/>
        </w:rPr>
        <w:t>（二）学业能力测评实施细则</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1.考查课程中，优秀成绩为90分、良好为85分、中为75分、及格为60分、不及格为0分。</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2.因缓考而补考的同学综合测评按考后的成绩计算，其他情况补考的同学补考通过综合测评均按60分计算。如补考仍未通过者该门课程综合测评按补考前分数计算。</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3.考试作弊或无故旷考，该门课程以零分计。</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4.学业成绩与学分的折算方法以《中山大学南方学院课程及成绩管理规定》为依据。</w:t>
      </w:r>
    </w:p>
    <w:p>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outlineLvl w:val="9"/>
        <w:rPr>
          <w:rFonts w:ascii="宋体" w:hAnsi="宋体" w:eastAsia="宋体" w:cs="宋体"/>
          <w:b/>
          <w:kern w:val="0"/>
          <w:szCs w:val="21"/>
        </w:rPr>
      </w:pP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kern w:val="0"/>
          <w:sz w:val="24"/>
          <w:szCs w:val="24"/>
        </w:rPr>
      </w:pPr>
      <w:r>
        <w:rPr>
          <w:rFonts w:hint="eastAsia" w:ascii="宋体" w:hAnsi="宋体" w:eastAsia="宋体" w:cs="宋体"/>
          <w:b/>
          <w:kern w:val="0"/>
          <w:sz w:val="24"/>
          <w:szCs w:val="24"/>
        </w:rPr>
        <w:t>第三章 综合测评的实施</w:t>
      </w:r>
    </w:p>
    <w:p>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outlineLvl w:val="9"/>
        <w:rPr>
          <w:rFonts w:ascii="宋体" w:hAnsi="宋体" w:eastAsia="宋体" w:cs="宋体"/>
          <w:b/>
          <w:kern w:val="0"/>
          <w:szCs w:val="21"/>
        </w:rPr>
      </w:pPr>
    </w:p>
    <w:p>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outlineLvl w:val="9"/>
        <w:rPr>
          <w:rFonts w:ascii="宋体" w:hAnsi="宋体" w:eastAsia="宋体" w:cs="宋体"/>
          <w:kern w:val="0"/>
          <w:szCs w:val="21"/>
        </w:rPr>
      </w:pPr>
      <w:r>
        <w:rPr>
          <w:rFonts w:hint="eastAsia" w:ascii="宋体" w:hAnsi="宋体" w:eastAsia="宋体" w:cs="宋体"/>
          <w:b/>
          <w:kern w:val="0"/>
          <w:szCs w:val="21"/>
        </w:rPr>
        <w:t>第八条</w:t>
      </w:r>
      <w:r>
        <w:rPr>
          <w:rFonts w:hint="eastAsia" w:ascii="宋体" w:hAnsi="宋体" w:eastAsia="宋体" w:cs="宋体"/>
          <w:kern w:val="0"/>
          <w:szCs w:val="21"/>
        </w:rPr>
        <w:t xml:space="preserve">  学生综合测评工作，在院党委领导下，由党委学生工作部（简称学工部）整体部署和指导，各系具体组织实施。</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1.各系成立综合测评工作小组（简称系测评小组），由系学生工作负责人为组长，辅导员、学生干部及学生代表为成员组成，指导本系的学生综合测评工作。</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2.各班级成立班级综合测评小组（简称班测评小组），班测评小组由辅导员和该学年度任职的班委（2名即班长和团支部书记）及其他学生代表（4名）等成员组成。班测评小组应认真地核准本班注册同学的综合素质测评各项加分或扣分，计算并统计综合测评成绩。</w:t>
      </w:r>
    </w:p>
    <w:p>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outlineLvl w:val="9"/>
        <w:rPr>
          <w:rFonts w:ascii="宋体" w:hAnsi="宋体" w:eastAsia="宋体" w:cs="宋体"/>
          <w:kern w:val="0"/>
          <w:szCs w:val="21"/>
        </w:rPr>
      </w:pPr>
      <w:r>
        <w:rPr>
          <w:rFonts w:hint="eastAsia" w:ascii="宋体" w:hAnsi="宋体" w:eastAsia="宋体" w:cs="宋体"/>
          <w:b/>
          <w:kern w:val="0"/>
          <w:szCs w:val="21"/>
        </w:rPr>
        <w:t>第九条</w:t>
      </w:r>
      <w:r>
        <w:rPr>
          <w:rFonts w:hint="eastAsia" w:ascii="宋体" w:hAnsi="宋体" w:eastAsia="宋体" w:cs="宋体"/>
          <w:kern w:val="0"/>
          <w:szCs w:val="21"/>
        </w:rPr>
        <w:t xml:space="preserve">  学生综合测评每学年进行一次，原则上在新学年开学后对学生上一学年度（时间界定为上年9月1日至当年8月31日）表现开展综合测评。各院系成立测评工作小组后，应将成员名单及时上报学生工作部。</w:t>
      </w:r>
    </w:p>
    <w:p>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outlineLvl w:val="9"/>
        <w:rPr>
          <w:rFonts w:ascii="宋体" w:hAnsi="宋体" w:eastAsia="宋体" w:cs="宋体"/>
          <w:kern w:val="0"/>
          <w:szCs w:val="21"/>
        </w:rPr>
      </w:pPr>
      <w:r>
        <w:rPr>
          <w:rFonts w:hint="eastAsia" w:ascii="宋体" w:hAnsi="宋体" w:eastAsia="宋体" w:cs="宋体"/>
          <w:b/>
          <w:kern w:val="0"/>
          <w:szCs w:val="21"/>
        </w:rPr>
        <w:t>第十条</w:t>
      </w:r>
      <w:r>
        <w:rPr>
          <w:rFonts w:hint="eastAsia" w:ascii="宋体" w:hAnsi="宋体" w:eastAsia="宋体" w:cs="宋体"/>
          <w:kern w:val="0"/>
          <w:szCs w:val="21"/>
        </w:rPr>
        <w:t xml:space="preserve">  综合测评以班级测评、系测评工作小组复核、批准、报学生工作部确认备案等程序进行。</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1.学生本人首先根据测评标准进行自评，计算出本人本学年的综合素质测评成绩，列出加分、扣分项目（需提供相关证明材料），并交班测评小组。本年度转专业学生的综合测评回原所在院系进行。</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2.班测评小组对学生提交的个人自评材料进行评审，结合学生平时表现，给出初评结果，无异议后由班评议小组填写综合测评表。</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3.班测评小组将填写好的综合测评表，先公示，后报院系测评工作小组进行复核、批准，并按照年级、专业两个维度给学生排定名次。</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4.院系测评工作小组对各年级、专业学生排序，并将测评结果公示3个工作日。学生如对测评结果有异议，须在公示期内向院系测评工作小组提请复议，院系测评工作小组应当在3个工作日内进行复议，并将复议结果告知学生本人。经复议后，测评结果如有更改，应再次公示更改后的结果。</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5.学生对最终测评结果无异议后，院系将综合测评表存入学生档案，并交学生工作部备案。</w:t>
      </w:r>
    </w:p>
    <w:p>
      <w:pPr>
        <w:pStyle w:val="4"/>
        <w:keepNext w:val="0"/>
        <w:keepLines w:val="0"/>
        <w:pageBreakBefore w:val="0"/>
        <w:kinsoku/>
        <w:wordWrap/>
        <w:overflowPunct/>
        <w:topLinePunct w:val="0"/>
        <w:autoSpaceDE/>
        <w:autoSpaceDN/>
        <w:bidi w:val="0"/>
        <w:snapToGrid/>
        <w:spacing w:line="360" w:lineRule="auto"/>
        <w:ind w:firstLine="422"/>
        <w:jc w:val="both"/>
        <w:textAlignment w:val="auto"/>
        <w:outlineLvl w:val="9"/>
        <w:rPr>
          <w:rFonts w:ascii="宋体" w:eastAsia="宋体" w:cs="宋体"/>
          <w:bCs w:val="0"/>
          <w:sz w:val="21"/>
          <w:szCs w:val="21"/>
        </w:rPr>
      </w:pPr>
      <w:r>
        <w:rPr>
          <w:rFonts w:hint="eastAsia" w:ascii="宋体" w:eastAsia="宋体" w:cs="宋体"/>
          <w:b/>
          <w:bCs w:val="0"/>
          <w:sz w:val="21"/>
          <w:szCs w:val="21"/>
        </w:rPr>
        <w:t>第十一条</w:t>
      </w:r>
      <w:r>
        <w:rPr>
          <w:rFonts w:hint="eastAsia" w:ascii="宋体" w:eastAsia="宋体" w:cs="宋体"/>
          <w:bCs w:val="0"/>
          <w:sz w:val="21"/>
          <w:szCs w:val="21"/>
        </w:rPr>
        <w:t xml:space="preserve">  测评结果的适用范围</w:t>
      </w:r>
    </w:p>
    <w:p>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outlineLvl w:val="9"/>
        <w:rPr>
          <w:rFonts w:ascii="宋体" w:hAnsi="宋体" w:eastAsia="宋体" w:cs="宋体"/>
          <w:kern w:val="0"/>
          <w:szCs w:val="21"/>
        </w:rPr>
      </w:pPr>
      <w:r>
        <w:rPr>
          <w:rFonts w:hint="eastAsia" w:ascii="宋体" w:hAnsi="宋体" w:eastAsia="宋体" w:cs="宋体"/>
          <w:kern w:val="0"/>
          <w:szCs w:val="21"/>
        </w:rPr>
        <w:t>综合素质测评成绩作为评定三好学生、优秀学生干部、优秀毕业生等荣誉称号和评定各类奖学金、助学金，以及学生推优入党、推荐就业、毕业生档案材料填写等学生情况鉴定工作的重要依据。</w:t>
      </w:r>
    </w:p>
    <w:p>
      <w:pPr>
        <w:keepNext w:val="0"/>
        <w:keepLines w:val="0"/>
        <w:pageBreakBefore w:val="0"/>
        <w:widowControl/>
        <w:numPr>
          <w:ilvl w:val="0"/>
          <w:numId w:val="1"/>
        </w:numPr>
        <w:kinsoku/>
        <w:wordWrap/>
        <w:overflowPunct/>
        <w:topLinePunct w:val="0"/>
        <w:autoSpaceDE/>
        <w:autoSpaceDN/>
        <w:bidi w:val="0"/>
        <w:snapToGrid/>
        <w:spacing w:line="360" w:lineRule="auto"/>
        <w:ind w:firstLine="420" w:firstLineChars="200"/>
        <w:jc w:val="both"/>
        <w:textAlignment w:val="auto"/>
        <w:outlineLvl w:val="9"/>
        <w:rPr>
          <w:rFonts w:hint="eastAsia" w:ascii="宋体" w:hAnsi="宋体" w:eastAsia="宋体" w:cs="宋体"/>
          <w:kern w:val="0"/>
          <w:szCs w:val="21"/>
        </w:rPr>
      </w:pPr>
      <w:r>
        <w:rPr>
          <w:rFonts w:hint="eastAsia" w:ascii="宋体" w:hAnsi="宋体" w:eastAsia="宋体" w:cs="宋体"/>
          <w:kern w:val="0"/>
          <w:szCs w:val="21"/>
        </w:rPr>
        <w:t xml:space="preserve"> 本办法由学生工作部负责解释。其他有关文件规定与本办法不一致的，以本办法为准。 本办法自2017年9月1日起实施。</w:t>
      </w:r>
    </w:p>
    <w:p>
      <w:pPr>
        <w:keepNext w:val="0"/>
        <w:keepLines w:val="0"/>
        <w:pageBreakBefore w:val="0"/>
        <w:widowControl/>
        <w:numPr>
          <w:numId w:val="0"/>
        </w:numPr>
        <w:kinsoku/>
        <w:wordWrap/>
        <w:overflowPunct/>
        <w:topLinePunct w:val="0"/>
        <w:autoSpaceDE/>
        <w:autoSpaceDN/>
        <w:bidi w:val="0"/>
        <w:snapToGrid/>
        <w:spacing w:line="360" w:lineRule="auto"/>
        <w:jc w:val="both"/>
        <w:textAlignment w:val="auto"/>
        <w:outlineLvl w:val="9"/>
        <w:rPr>
          <w:rFonts w:hint="eastAsia" w:ascii="宋体" w:hAnsi="宋体" w:eastAsia="宋体" w:cs="宋体"/>
          <w:kern w:val="0"/>
          <w:szCs w:val="21"/>
        </w:rPr>
      </w:pPr>
    </w:p>
    <w:p>
      <w:pPr>
        <w:keepNext w:val="0"/>
        <w:keepLines w:val="0"/>
        <w:pageBreakBefore w:val="0"/>
        <w:widowControl/>
        <w:numPr>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kern w:val="0"/>
          <w:szCs w:val="21"/>
          <w:lang w:eastAsia="zh-CN"/>
        </w:rPr>
      </w:pPr>
      <w:r>
        <w:rPr>
          <w:rFonts w:hint="eastAsia" w:ascii="宋体" w:hAnsi="宋体" w:eastAsia="宋体" w:cs="宋体"/>
          <w:kern w:val="0"/>
          <w:szCs w:val="21"/>
          <w:lang w:eastAsia="zh-CN"/>
        </w:rPr>
        <w:t>附件：基础素质测评指标体系</w:t>
      </w:r>
    </w:p>
    <w:p>
      <w:pPr>
        <w:keepNext w:val="0"/>
        <w:keepLines w:val="0"/>
        <w:pageBreakBefore w:val="0"/>
        <w:kinsoku/>
        <w:wordWrap/>
        <w:overflowPunct/>
        <w:topLinePunct w:val="0"/>
        <w:autoSpaceDE/>
        <w:autoSpaceDN/>
        <w:bidi w:val="0"/>
        <w:snapToGrid/>
        <w:spacing w:line="360" w:lineRule="auto"/>
        <w:jc w:val="both"/>
        <w:textAlignment w:val="auto"/>
        <w:outlineLvl w:val="9"/>
        <w:rPr>
          <w:rFonts w:ascii="宋体" w:hAnsi="宋体" w:eastAsia="宋体"/>
          <w:szCs w:val="21"/>
        </w:rPr>
      </w:pPr>
    </w:p>
    <w:p>
      <w:pPr>
        <w:keepNext w:val="0"/>
        <w:keepLines w:val="0"/>
        <w:pageBreakBefore w:val="0"/>
        <w:kinsoku/>
        <w:wordWrap/>
        <w:overflowPunct/>
        <w:topLinePunct w:val="0"/>
        <w:autoSpaceDE/>
        <w:autoSpaceDN/>
        <w:bidi w:val="0"/>
        <w:snapToGrid/>
        <w:spacing w:line="360" w:lineRule="auto"/>
        <w:jc w:val="both"/>
        <w:textAlignment w:val="auto"/>
        <w:outlineLvl w:val="9"/>
        <w:rPr>
          <w:rFonts w:ascii="宋体" w:hAnsi="宋体" w:eastAsia="宋体"/>
          <w:szCs w:val="21"/>
        </w:rPr>
      </w:pPr>
    </w:p>
    <w:p>
      <w:pPr>
        <w:keepNext w:val="0"/>
        <w:keepLines w:val="0"/>
        <w:pageBreakBefore w:val="0"/>
        <w:kinsoku/>
        <w:wordWrap/>
        <w:overflowPunct/>
        <w:topLinePunct w:val="0"/>
        <w:autoSpaceDE/>
        <w:autoSpaceDN/>
        <w:bidi w:val="0"/>
        <w:snapToGrid/>
        <w:spacing w:line="360" w:lineRule="auto"/>
        <w:jc w:val="both"/>
        <w:textAlignment w:val="auto"/>
        <w:outlineLvl w:val="9"/>
        <w:rPr>
          <w:rFonts w:ascii="宋体" w:hAnsi="宋体" w:eastAsia="宋体"/>
          <w:szCs w:val="21"/>
        </w:rPr>
      </w:pPr>
    </w:p>
    <w:p>
      <w:pPr>
        <w:keepNext w:val="0"/>
        <w:keepLines w:val="0"/>
        <w:pageBreakBefore w:val="0"/>
        <w:kinsoku/>
        <w:wordWrap/>
        <w:overflowPunct/>
        <w:topLinePunct w:val="0"/>
        <w:autoSpaceDE/>
        <w:autoSpaceDN/>
        <w:bidi w:val="0"/>
        <w:snapToGrid/>
        <w:spacing w:line="360" w:lineRule="auto"/>
        <w:jc w:val="both"/>
        <w:textAlignment w:val="auto"/>
        <w:outlineLvl w:val="9"/>
        <w:rPr>
          <w:rFonts w:ascii="宋体" w:hAnsi="宋体" w:eastAsia="宋体"/>
          <w:szCs w:val="21"/>
        </w:rPr>
      </w:pPr>
    </w:p>
    <w:p>
      <w:pPr>
        <w:keepNext w:val="0"/>
        <w:keepLines w:val="0"/>
        <w:pageBreakBefore w:val="0"/>
        <w:kinsoku/>
        <w:wordWrap/>
        <w:overflowPunct/>
        <w:topLinePunct w:val="0"/>
        <w:autoSpaceDE/>
        <w:autoSpaceDN/>
        <w:bidi w:val="0"/>
        <w:snapToGrid/>
        <w:spacing w:line="360" w:lineRule="auto"/>
        <w:jc w:val="both"/>
        <w:textAlignment w:val="auto"/>
        <w:outlineLvl w:val="9"/>
        <w:rPr>
          <w:rFonts w:ascii="宋体" w:hAnsi="宋体" w:eastAsia="宋体"/>
          <w:szCs w:val="21"/>
        </w:rPr>
      </w:pPr>
    </w:p>
    <w:p>
      <w:pPr>
        <w:keepNext w:val="0"/>
        <w:keepLines w:val="0"/>
        <w:pageBreakBefore w:val="0"/>
        <w:kinsoku/>
        <w:wordWrap/>
        <w:overflowPunct/>
        <w:topLinePunct w:val="0"/>
        <w:autoSpaceDE/>
        <w:autoSpaceDN/>
        <w:bidi w:val="0"/>
        <w:snapToGrid/>
        <w:spacing w:line="360" w:lineRule="auto"/>
        <w:jc w:val="both"/>
        <w:textAlignment w:val="auto"/>
        <w:outlineLvl w:val="9"/>
        <w:rPr>
          <w:rFonts w:ascii="宋体" w:hAnsi="宋体" w:eastAsia="宋体"/>
          <w:szCs w:val="21"/>
        </w:rPr>
      </w:pPr>
    </w:p>
    <w:p>
      <w:pPr>
        <w:keepNext w:val="0"/>
        <w:keepLines w:val="0"/>
        <w:pageBreakBefore w:val="0"/>
        <w:kinsoku/>
        <w:wordWrap/>
        <w:overflowPunct/>
        <w:topLinePunct w:val="0"/>
        <w:autoSpaceDE/>
        <w:autoSpaceDN/>
        <w:bidi w:val="0"/>
        <w:snapToGrid/>
        <w:spacing w:line="360" w:lineRule="auto"/>
        <w:jc w:val="both"/>
        <w:textAlignment w:val="auto"/>
        <w:outlineLvl w:val="9"/>
        <w:rPr>
          <w:rFonts w:ascii="宋体" w:hAnsi="宋体" w:eastAsia="宋体"/>
          <w:szCs w:val="21"/>
        </w:rPr>
      </w:pPr>
    </w:p>
    <w:p>
      <w:pPr>
        <w:keepNext w:val="0"/>
        <w:keepLines w:val="0"/>
        <w:pageBreakBefore w:val="0"/>
        <w:widowControl/>
        <w:kinsoku/>
        <w:wordWrap/>
        <w:overflowPunct/>
        <w:topLinePunct w:val="0"/>
        <w:autoSpaceDE/>
        <w:autoSpaceDN/>
        <w:bidi w:val="0"/>
        <w:snapToGrid/>
        <w:spacing w:line="360" w:lineRule="auto"/>
        <w:jc w:val="both"/>
        <w:textAlignment w:val="auto"/>
        <w:outlineLvl w:val="9"/>
        <w:rPr>
          <w:rFonts w:hint="eastAsia" w:ascii="宋体" w:hAnsi="宋体" w:eastAsia="宋体" w:cs="宋体"/>
          <w:kern w:val="0"/>
          <w:szCs w:val="21"/>
        </w:rPr>
      </w:pPr>
      <w:r>
        <w:rPr>
          <w:rFonts w:hint="eastAsia" w:ascii="宋体" w:hAnsi="宋体" w:eastAsia="宋体" w:cs="宋体"/>
          <w:kern w:val="0"/>
          <w:szCs w:val="21"/>
        </w:rPr>
        <w:t>附件：</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宋体" w:hAnsi="宋体" w:eastAsia="宋体" w:cs="宋体"/>
          <w:b/>
          <w:kern w:val="0"/>
          <w:szCs w:val="21"/>
        </w:rPr>
      </w:pPr>
      <w:r>
        <w:rPr>
          <w:rFonts w:hint="eastAsia" w:ascii="宋体" w:hAnsi="宋体" w:eastAsia="宋体" w:cs="宋体"/>
          <w:b/>
          <w:kern w:val="0"/>
          <w:szCs w:val="21"/>
        </w:rPr>
        <w:t>基础素质测评指标体系</w:t>
      </w:r>
    </w:p>
    <w:tbl>
      <w:tblPr>
        <w:tblStyle w:val="10"/>
        <w:tblW w:w="8340"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050"/>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93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kern w:val="0"/>
                <w:szCs w:val="21"/>
              </w:rPr>
            </w:pPr>
            <w:r>
              <w:rPr>
                <w:rFonts w:hint="eastAsia" w:ascii="宋体" w:hAnsi="宋体" w:eastAsia="宋体" w:cs="宋体"/>
                <w:b/>
                <w:kern w:val="0"/>
                <w:szCs w:val="21"/>
              </w:rPr>
              <w:t>一级</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kern w:val="0"/>
                <w:szCs w:val="21"/>
              </w:rPr>
            </w:pPr>
            <w:r>
              <w:rPr>
                <w:rFonts w:hint="eastAsia" w:ascii="宋体" w:hAnsi="宋体" w:eastAsia="宋体" w:cs="宋体"/>
                <w:b/>
                <w:kern w:val="0"/>
                <w:szCs w:val="21"/>
              </w:rPr>
              <w:t>指标</w:t>
            </w:r>
          </w:p>
        </w:tc>
        <w:tc>
          <w:tcPr>
            <w:tcW w:w="105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kern w:val="0"/>
                <w:szCs w:val="21"/>
              </w:rPr>
            </w:pPr>
            <w:r>
              <w:rPr>
                <w:rFonts w:hint="eastAsia" w:ascii="宋体" w:hAnsi="宋体" w:eastAsia="宋体" w:cs="宋体"/>
                <w:b/>
                <w:kern w:val="0"/>
                <w:szCs w:val="21"/>
              </w:rPr>
              <w:t>二级</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kern w:val="0"/>
                <w:szCs w:val="21"/>
              </w:rPr>
            </w:pPr>
            <w:r>
              <w:rPr>
                <w:rFonts w:hint="eastAsia" w:ascii="宋体" w:hAnsi="宋体" w:eastAsia="宋体" w:cs="宋体"/>
                <w:b/>
                <w:kern w:val="0"/>
                <w:szCs w:val="21"/>
              </w:rPr>
              <w:t>指标</w:t>
            </w:r>
          </w:p>
        </w:tc>
        <w:tc>
          <w:tcPr>
            <w:tcW w:w="6360" w:type="dxa"/>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b/>
                <w:kern w:val="0"/>
                <w:szCs w:val="21"/>
              </w:rPr>
            </w:pPr>
            <w:r>
              <w:rPr>
                <w:rFonts w:hint="eastAsia" w:ascii="宋体" w:hAnsi="宋体" w:eastAsia="宋体" w:cs="宋体"/>
                <w:b/>
                <w:kern w:val="0"/>
                <w:szCs w:val="21"/>
              </w:rPr>
              <w:t>参照点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93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思想道德素养</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w w:val="80"/>
                <w:kern w:val="0"/>
                <w:szCs w:val="21"/>
              </w:rPr>
            </w:pPr>
            <w:r>
              <w:rPr>
                <w:rFonts w:hint="eastAsia" w:ascii="宋体" w:hAnsi="宋体" w:eastAsia="宋体" w:cs="宋体"/>
                <w:w w:val="80"/>
                <w:kern w:val="0"/>
                <w:szCs w:val="21"/>
              </w:rPr>
              <w:t>（18分）</w:t>
            </w:r>
          </w:p>
        </w:tc>
        <w:tc>
          <w:tcPr>
            <w:tcW w:w="105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政治</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素质</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（6分）</w:t>
            </w: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SA"/>
              </w:rPr>
              <w:t>坚决拥护党的领导，坚持社会主义道路热爱祖国与人民，发奋学习，努力实践，以报效国家为己任。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w w:val="96"/>
                <w:sz w:val="21"/>
                <w:szCs w:val="21"/>
              </w:rPr>
            </w:pPr>
            <w:r>
              <w:rPr>
                <w:rFonts w:hint="eastAsia" w:asciiTheme="minorEastAsia" w:hAnsiTheme="minorEastAsia" w:eastAsiaTheme="minorEastAsia" w:cstheme="minorEastAsia"/>
                <w:kern w:val="0"/>
                <w:sz w:val="21"/>
                <w:szCs w:val="21"/>
                <w:lang w:val="en-US" w:eastAsia="zh-CN" w:bidi="ar-SA"/>
              </w:rPr>
              <w:t>能够正确处理个人、集体和国家利益之间的关系，能够在错综复杂的政治环境中保持清醒的政治头脑。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SA"/>
              </w:rPr>
              <w:t>正确认识社会发展规律，关心国家前途和民族命运，确立在中国共产党领导下走中国特色社会主义道路，实现中华民族伟大复兴的共同理想和坚定信念。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思想</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素质</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（6分）</w:t>
            </w: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有正确的世界观、人生观、价值观，能够掌握马克思主义认识世界和改造世界的方法论。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0"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具有社会责任感，关心国家，关注社会，关怀民生，立足现实，拼搏进取，勇于担当；积极参加志愿服务等有意义的活动。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严于律己，助人为乐，坚持公平与正义，在批判中守护传统，在开拓进取中弘扬精神文明，在自强不息中</w:t>
            </w:r>
            <w:bookmarkStart w:id="4" w:name="OLE_LINK9"/>
            <w:r>
              <w:rPr>
                <w:rFonts w:hint="eastAsia" w:asciiTheme="minorEastAsia" w:hAnsiTheme="minorEastAsia" w:eastAsiaTheme="minorEastAsia" w:cstheme="minorEastAsia"/>
                <w:sz w:val="21"/>
                <w:szCs w:val="21"/>
              </w:rPr>
              <w:t>见贤思齐</w:t>
            </w:r>
            <w:bookmarkEnd w:id="4"/>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道德</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素质</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（6分）</w:t>
            </w: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拥有良好的职业道德、社会公德与家庭美德，继承并发扬中华民族的优良传统；具有高尚的审美情趣，做到心灵美、语言美、行为美、仪表美。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诚实守信，勤劳节俭，正直勇敢，自尊自爱，明辨善恶，敬业奉献，遵守网络道德规范，抵制黄赌毒与假黑诈。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尊敬师长，关心同学，言谈得体，举止端庄；知荣辱，讲正气，懂礼节，识进退；在公共场合能仪表整洁，落落大方，动静合宜。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93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组织法纪素养</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w w:val="80"/>
                <w:kern w:val="0"/>
                <w:szCs w:val="21"/>
              </w:rPr>
            </w:pPr>
            <w:r>
              <w:rPr>
                <w:rFonts w:hint="eastAsia" w:ascii="宋体" w:hAnsi="宋体" w:eastAsia="宋体" w:cs="宋体"/>
                <w:w w:val="80"/>
                <w:kern w:val="0"/>
                <w:szCs w:val="21"/>
              </w:rPr>
              <w:t>（12分）</w:t>
            </w:r>
          </w:p>
        </w:tc>
        <w:tc>
          <w:tcPr>
            <w:tcW w:w="105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组织</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素质</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（6分）</w:t>
            </w: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w w:val="96"/>
                <w:sz w:val="21"/>
                <w:szCs w:val="21"/>
              </w:rPr>
            </w:pPr>
            <w:r>
              <w:rPr>
                <w:rFonts w:hint="eastAsia" w:asciiTheme="minorEastAsia" w:hAnsiTheme="minorEastAsia" w:eastAsiaTheme="minorEastAsia" w:cstheme="minorEastAsia"/>
                <w:sz w:val="21"/>
                <w:szCs w:val="21"/>
              </w:rPr>
              <w:t>富有集体主义精神，对学习生活的集体有认同感、荣誉感和归属感，尊重自己与他人，以集体利益为重。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6"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关心他人和集体，团结互助，积极参加学院、院系以及班级组织的各项活动，积极发挥个人在集体中的建设性作用。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具有团队协作精神，掌握沟通与合作的技能技巧，懂得互相帮助，共同进步。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法纪</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素质</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（6分）</w:t>
            </w: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学法、懂法，认真学习以宪法为核心的一系列法律法规，熟知校纪校规；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守法、护法，积极参与法律实践；宣传社会主义法治观念，尊重他人合法权益，自觉维护法律权威，遵守校规校纪。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用法，培养社会主义法律思维方式，学会运用法律（法规）方法思考、分析和解决学习和生活中的问题。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3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学习发展素养</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w w:val="80"/>
                <w:kern w:val="0"/>
                <w:szCs w:val="21"/>
              </w:rPr>
            </w:pPr>
            <w:r>
              <w:rPr>
                <w:rFonts w:hint="eastAsia" w:ascii="宋体" w:hAnsi="宋体" w:eastAsia="宋体" w:cs="宋体"/>
                <w:w w:val="80"/>
                <w:kern w:val="0"/>
                <w:szCs w:val="21"/>
              </w:rPr>
              <w:t>（12分）</w:t>
            </w:r>
          </w:p>
        </w:tc>
        <w:tc>
          <w:tcPr>
            <w:tcW w:w="105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学习与生活素质</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（6分）</w:t>
            </w: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适应大学环境，认识大学的特点，接受大学学习和生活方式，能利用环境变化的有利因素，培养与完善弹性适应社会的能力。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0"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有追求卓越的学习意识，有开拓进取的精神，有坚定的学习意志，有浓厚的学习兴趣，有自主学习的能力。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热爱生活，有良好的独立思考能力与学习、生活习惯，通过努力不断提高和完善自身的知识结构。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实践与创新素质</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（6分）</w:t>
            </w: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能够学以致用，理论联系实际，能够把所学知识用于分析问题、解决问题上；积极参加实践，在实践中不断丰富和完善自己的知识。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胸怀远大理想，富于探索精神；乐于接受新生事物，能在学习已有知识能力的基础上，提出新的观点、见解或作出发明创造。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处理问题不拘泥于固定模式，能举一反三，善于质疑辨析，能突破固有思维，理性、多角度看问题，具有创造性思维。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93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科学文化素养</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w w:val="90"/>
                <w:kern w:val="0"/>
                <w:szCs w:val="21"/>
              </w:rPr>
            </w:pPr>
            <w:r>
              <w:rPr>
                <w:rFonts w:hint="eastAsia" w:ascii="宋体" w:hAnsi="宋体" w:eastAsia="宋体" w:cs="宋体"/>
                <w:w w:val="90"/>
                <w:kern w:val="0"/>
                <w:szCs w:val="21"/>
              </w:rPr>
              <w:t>（6分）</w:t>
            </w:r>
          </w:p>
        </w:tc>
        <w:tc>
          <w:tcPr>
            <w:tcW w:w="105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科学文化素质</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（6分）</w:t>
            </w: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科学思维富有逻辑，能归纳和演绎所学知识，能辩证的认识事物，系统而整体的看待事物，对问题能全过程的分析，从大局出发进行决策。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17"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具有丰富的社会科学、人文科学、自然科学等学科知识；有健康高雅的审美情趣和审美能力；具有高尚的文化修养，崇尚科学，掌握科学知识且具有科学精神。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3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能掌握信息技术尤其是计算机应用技术，能够有效且高效地获取信息，能够正确地评价信息，能够精确地、创造性地使用信息。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93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身心健康素养</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w w:val="80"/>
                <w:kern w:val="0"/>
                <w:szCs w:val="21"/>
              </w:rPr>
            </w:pPr>
            <w:r>
              <w:rPr>
                <w:rFonts w:hint="eastAsia" w:ascii="宋体" w:hAnsi="宋体" w:eastAsia="宋体" w:cs="宋体"/>
                <w:w w:val="80"/>
                <w:kern w:val="0"/>
                <w:szCs w:val="21"/>
              </w:rPr>
              <w:t>（12分）</w:t>
            </w:r>
          </w:p>
        </w:tc>
        <w:tc>
          <w:tcPr>
            <w:tcW w:w="105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身体</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素质</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（6分）</w:t>
            </w: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具有有良好的身体素质，认真上好体育课，掌握健康常识，运动的知识和技能。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30" w:type="dxa"/>
            <w:vMerge w:val="continue"/>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积极参加体育锻炼，践行每天锻炼一小时。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930" w:type="dxa"/>
            <w:vMerge w:val="continue"/>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学会科学锻炼身体的方法，并将运动贯穿于日后的学习、生活与工作中。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30" w:type="dxa"/>
            <w:vMerge w:val="continue"/>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restar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心理</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素质</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r>
              <w:rPr>
                <w:rFonts w:hint="eastAsia" w:ascii="宋体" w:hAnsi="宋体" w:eastAsia="宋体" w:cs="宋体"/>
                <w:kern w:val="0"/>
                <w:szCs w:val="21"/>
              </w:rPr>
              <w:t>（6分）</w:t>
            </w: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具有健康的人格，能保持正确的自我意识，接纳自我，能保持完整统一的人格品质。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0" w:hRule="atLeast"/>
        </w:trPr>
        <w:tc>
          <w:tcPr>
            <w:tcW w:w="930" w:type="dxa"/>
            <w:vMerge w:val="continue"/>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具有良好的心理素质，有坚定的意志、信念，有良好的情绪调节能力；能保持良好的心境，对事物反应适度，不迟缓、不敏感。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30" w:type="dxa"/>
            <w:vMerge w:val="continue"/>
            <w:tcBorders/>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ascii="宋体" w:hAnsi="宋体" w:eastAsia="宋体" w:cs="宋体"/>
                <w:kern w:val="0"/>
                <w:szCs w:val="21"/>
              </w:rPr>
            </w:pPr>
          </w:p>
        </w:tc>
        <w:tc>
          <w:tcPr>
            <w:tcW w:w="6360" w:type="dxa"/>
            <w:vAlign w:val="center"/>
          </w:tcPr>
          <w:p>
            <w:pPr>
              <w:pStyle w:val="7"/>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具有和谐的人际关系，能保持良好的环境适应能力，包括正确认识环境及处理个人和环境的关系。</w:t>
            </w:r>
          </w:p>
        </w:tc>
      </w:tr>
    </w:tbl>
    <w:p>
      <w:pPr>
        <w:keepNext w:val="0"/>
        <w:keepLines w:val="0"/>
        <w:pageBreakBefore w:val="0"/>
        <w:widowControl/>
        <w:kinsoku/>
        <w:wordWrap/>
        <w:overflowPunct/>
        <w:topLinePunct w:val="0"/>
        <w:autoSpaceDE/>
        <w:autoSpaceDN/>
        <w:bidi w:val="0"/>
        <w:snapToGrid/>
        <w:spacing w:line="360" w:lineRule="auto"/>
        <w:jc w:val="left"/>
        <w:textAlignment w:val="auto"/>
        <w:rPr>
          <w:rFonts w:ascii="宋体" w:hAnsi="宋体" w:eastAsia="宋体" w:cs="宋体"/>
          <w:kern w:val="0"/>
          <w:szCs w:val="21"/>
        </w:rPr>
      </w:pPr>
    </w:p>
    <w:p>
      <w:pPr>
        <w:keepNext w:val="0"/>
        <w:keepLines w:val="0"/>
        <w:pageBreakBefore w:val="0"/>
        <w:widowControl/>
        <w:kinsoku/>
        <w:wordWrap/>
        <w:overflowPunct/>
        <w:topLinePunct w:val="0"/>
        <w:autoSpaceDE/>
        <w:autoSpaceDN/>
        <w:bidi w:val="0"/>
        <w:snapToGrid/>
        <w:spacing w:line="360" w:lineRule="auto"/>
        <w:jc w:val="left"/>
        <w:textAlignment w:val="auto"/>
        <w:rPr>
          <w:rFonts w:ascii="宋体" w:hAnsi="宋体" w:eastAsia="宋体" w:cs="宋体"/>
          <w:kern w:val="0"/>
          <w:szCs w:val="21"/>
        </w:rPr>
      </w:pPr>
    </w:p>
    <w:p>
      <w:pPr>
        <w:keepNext w:val="0"/>
        <w:keepLines w:val="0"/>
        <w:pageBreakBefore w:val="0"/>
        <w:widowControl/>
        <w:kinsoku/>
        <w:wordWrap/>
        <w:overflowPunct/>
        <w:topLinePunct w:val="0"/>
        <w:autoSpaceDE/>
        <w:autoSpaceDN/>
        <w:bidi w:val="0"/>
        <w:snapToGrid/>
        <w:spacing w:line="360" w:lineRule="auto"/>
        <w:jc w:val="left"/>
        <w:textAlignment w:val="auto"/>
        <w:rPr>
          <w:rFonts w:ascii="宋体" w:hAnsi="宋体" w:eastAsia="宋体" w:cs="宋体"/>
          <w:kern w:val="0"/>
          <w:szCs w:val="21"/>
        </w:rPr>
      </w:pPr>
      <w:bookmarkStart w:id="5" w:name="_GoBack"/>
      <w:bookmarkEnd w:id="5"/>
    </w:p>
    <w:p>
      <w:pPr>
        <w:keepNext w:val="0"/>
        <w:keepLines w:val="0"/>
        <w:pageBreakBefore w:val="0"/>
        <w:kinsoku/>
        <w:wordWrap/>
        <w:overflowPunct/>
        <w:topLinePunct w:val="0"/>
        <w:autoSpaceDE/>
        <w:autoSpaceDN/>
        <w:bidi w:val="0"/>
        <w:snapToGrid/>
        <w:spacing w:line="360" w:lineRule="auto"/>
        <w:textAlignment w:val="auto"/>
        <w:rPr>
          <w:rFonts w:ascii="宋体" w:hAnsi="宋体" w:eastAsia="宋体"/>
          <w:szCs w:val="21"/>
        </w:rPr>
      </w:pPr>
    </w:p>
    <w:p>
      <w:pPr>
        <w:keepNext w:val="0"/>
        <w:keepLines w:val="0"/>
        <w:pageBreakBefore w:val="0"/>
        <w:kinsoku/>
        <w:wordWrap/>
        <w:overflowPunct/>
        <w:topLinePunct w:val="0"/>
        <w:autoSpaceDE/>
        <w:autoSpaceDN/>
        <w:bidi w:val="0"/>
        <w:snapToGrid/>
        <w:spacing w:line="360" w:lineRule="auto"/>
        <w:textAlignment w:val="auto"/>
        <w:rPr>
          <w:rFonts w:ascii="宋体" w:hAnsi="宋体" w:eastAsia="宋体"/>
          <w:szCs w:val="21"/>
        </w:rPr>
      </w:pPr>
    </w:p>
    <w:p>
      <w:pPr>
        <w:keepNext w:val="0"/>
        <w:keepLines w:val="0"/>
        <w:pageBreakBefore w:val="0"/>
        <w:kinsoku/>
        <w:wordWrap/>
        <w:overflowPunct/>
        <w:topLinePunct w:val="0"/>
        <w:autoSpaceDE/>
        <w:autoSpaceDN/>
        <w:bidi w:val="0"/>
        <w:snapToGrid/>
        <w:spacing w:line="360" w:lineRule="auto"/>
        <w:textAlignment w:val="auto"/>
        <w:rPr>
          <w:rFonts w:ascii="宋体" w:hAnsi="宋体" w:eastAsia="宋体"/>
          <w:szCs w:val="21"/>
        </w:rPr>
      </w:pPr>
    </w:p>
    <w:p>
      <w:pPr>
        <w:keepNext w:val="0"/>
        <w:keepLines w:val="0"/>
        <w:pageBreakBefore w:val="0"/>
        <w:kinsoku/>
        <w:wordWrap/>
        <w:overflowPunct/>
        <w:topLinePunct w:val="0"/>
        <w:autoSpaceDE/>
        <w:autoSpaceDN/>
        <w:bidi w:val="0"/>
        <w:snapToGrid/>
        <w:spacing w:line="360" w:lineRule="auto"/>
        <w:textAlignment w:val="auto"/>
        <w:rPr>
          <w:rFonts w:ascii="宋体" w:hAnsi="宋体" w:eastAsia="宋体"/>
          <w:szCs w:val="21"/>
        </w:rPr>
      </w:pPr>
    </w:p>
    <w:p>
      <w:pPr>
        <w:pStyle w:val="8"/>
        <w:keepNext w:val="0"/>
        <w:keepLines w:val="0"/>
        <w:pageBreakBefore w:val="0"/>
        <w:kinsoku/>
        <w:wordWrap/>
        <w:overflowPunct/>
        <w:topLinePunct w:val="0"/>
        <w:autoSpaceDE/>
        <w:autoSpaceDN/>
        <w:bidi w:val="0"/>
        <w:snapToGrid/>
        <w:spacing w:before="0" w:after="0" w:line="360" w:lineRule="auto"/>
        <w:jc w:val="both"/>
        <w:textAlignment w:val="auto"/>
        <w:rPr>
          <w:rFonts w:ascii="宋体" w:hAnsi="宋体" w:cstheme="minorBidi"/>
          <w:b w:val="0"/>
          <w:bCs w:val="0"/>
          <w:sz w:val="21"/>
          <w:szCs w:val="21"/>
        </w:rPr>
      </w:pPr>
    </w:p>
    <w:p>
      <w:pPr>
        <w:keepNext w:val="0"/>
        <w:keepLines w:val="0"/>
        <w:pageBreakBefore w:val="0"/>
        <w:kinsoku/>
        <w:wordWrap/>
        <w:overflowPunct/>
        <w:topLinePunct w:val="0"/>
        <w:autoSpaceDE/>
        <w:autoSpaceDN/>
        <w:bidi w:val="0"/>
        <w:snapToGrid/>
        <w:spacing w:line="360" w:lineRule="auto"/>
        <w:textAlignment w:val="auto"/>
        <w:rPr>
          <w:rFonts w:hint="eastAsia"/>
        </w:rPr>
      </w:pPr>
    </w:p>
    <w:p>
      <w:pPr>
        <w:keepNext w:val="0"/>
        <w:keepLines w:val="0"/>
        <w:pageBreakBefore w:val="0"/>
        <w:kinsoku/>
        <w:wordWrap/>
        <w:overflowPunct/>
        <w:topLinePunct w:val="0"/>
        <w:autoSpaceDE/>
        <w:autoSpaceDN/>
        <w:bidi w:val="0"/>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6D00"/>
    <w:multiLevelType w:val="singleLevel"/>
    <w:tmpl w:val="59AF6D00"/>
    <w:lvl w:ilvl="0" w:tentative="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08"/>
    <w:rsid w:val="000E356C"/>
    <w:rsid w:val="00336908"/>
    <w:rsid w:val="00470826"/>
    <w:rsid w:val="178E35F2"/>
    <w:rsid w:val="27322C80"/>
    <w:rsid w:val="2CDC0546"/>
    <w:rsid w:val="3EF8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14"/>
    <w:qFormat/>
    <w:uiPriority w:val="0"/>
    <w:pPr>
      <w:jc w:val="left"/>
    </w:pPr>
    <w:rPr>
      <w:rFonts w:ascii="Calibri" w:hAnsi="Calibri" w:eastAsia="宋体" w:cs="Times New Roman"/>
      <w:szCs w:val="24"/>
    </w:rPr>
  </w:style>
  <w:style w:type="paragraph" w:styleId="4">
    <w:name w:val="Body Text Indent 2"/>
    <w:basedOn w:val="1"/>
    <w:link w:val="15"/>
    <w:uiPriority w:val="99"/>
    <w:pPr>
      <w:widowControl/>
      <w:ind w:firstLine="640" w:firstLineChars="200"/>
    </w:pPr>
    <w:rPr>
      <w:rFonts w:ascii="黑体" w:hAnsi="宋体" w:eastAsia="黑体" w:cs="Courier New"/>
      <w:bCs/>
      <w:kern w:val="0"/>
      <w:sz w:val="32"/>
      <w:szCs w:val="2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6"/>
    <w:qFormat/>
    <w:uiPriority w:val="99"/>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9"/>
    <w:link w:val="6"/>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文字 Char"/>
    <w:basedOn w:val="9"/>
    <w:link w:val="3"/>
    <w:qFormat/>
    <w:uiPriority w:val="0"/>
    <w:rPr>
      <w:rFonts w:ascii="Calibri" w:hAnsi="Calibri" w:eastAsia="宋体" w:cs="Times New Roman"/>
      <w:szCs w:val="24"/>
    </w:rPr>
  </w:style>
  <w:style w:type="character" w:customStyle="1" w:styleId="15">
    <w:name w:val="正文文本缩进 2 Char"/>
    <w:basedOn w:val="9"/>
    <w:link w:val="4"/>
    <w:qFormat/>
    <w:uiPriority w:val="99"/>
    <w:rPr>
      <w:rFonts w:ascii="黑体" w:hAnsi="宋体" w:eastAsia="黑体" w:cs="Courier New"/>
      <w:bCs/>
      <w:kern w:val="0"/>
      <w:sz w:val="32"/>
      <w:szCs w:val="28"/>
    </w:rPr>
  </w:style>
  <w:style w:type="character" w:customStyle="1" w:styleId="16">
    <w:name w:val="标题 Char"/>
    <w:basedOn w:val="9"/>
    <w:link w:val="8"/>
    <w:qFormat/>
    <w:uiPriority w:val="99"/>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1069</Words>
  <Characters>6096</Characters>
  <Lines>50</Lines>
  <Paragraphs>14</Paragraphs>
  <TotalTime>0</TotalTime>
  <ScaleCrop>false</ScaleCrop>
  <LinksUpToDate>false</LinksUpToDate>
  <CharactersWithSpaces>7151</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2017-09-06T01:23:00Z</dcterms:created>
  <dc:creator>Administrator</dc:creator>
  <cp:lastModifiedBy>Administrator</cp:lastModifiedBy>
  <dcterms:modified xsi:type="dcterms:W3CDTF">2017-09-06T03:33:47Z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