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第五届“京东物流杯”广东省大学生物流创新创业设计大赛 </w:t>
      </w:r>
    </w:p>
    <w:p>
      <w:pPr>
        <w:snapToGrid w:val="0"/>
        <w:spacing w:line="360" w:lineRule="auto"/>
        <w:jc w:val="center"/>
        <w:rPr>
          <w:rFonts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 w:cs="仿宋_GB2312"/>
          <w:b/>
          <w:bCs/>
          <w:sz w:val="28"/>
          <w:szCs w:val="28"/>
        </w:rPr>
        <w:t>初赛复赛评审评分表</w:t>
      </w:r>
      <w:r>
        <w:rPr>
          <w:rFonts w:ascii="仿宋_GB2312" w:hAnsi="仿宋" w:eastAsia="仿宋_GB2312" w:cs="仿宋_GB2312"/>
          <w:b/>
          <w:bCs/>
          <w:sz w:val="28"/>
          <w:szCs w:val="28"/>
        </w:rPr>
        <w:t>—</w:t>
      </w:r>
      <w:r>
        <w:rPr>
          <w:rFonts w:hint="eastAsia" w:ascii="仿宋_GB2312" w:hAnsi="仿宋" w:eastAsia="仿宋_GB2312" w:cs="仿宋_GB2312"/>
          <w:b/>
          <w:bCs/>
          <w:sz w:val="28"/>
          <w:szCs w:val="28"/>
        </w:rPr>
        <w:t>京东物流实践案例方向评分标准</w:t>
      </w:r>
    </w:p>
    <w:p>
      <w:pPr>
        <w:spacing w:line="360" w:lineRule="auto"/>
        <w:rPr>
          <w:rFonts w:ascii="仿宋_GB2312" w:hAnsi="宋体" w:eastAsia="仿宋_GB2312"/>
          <w:b/>
          <w:bCs/>
          <w:sz w:val="24"/>
          <w:szCs w:val="24"/>
        </w:rPr>
      </w:pPr>
      <w:r>
        <w:rPr>
          <w:rFonts w:hint="eastAsia" w:ascii="仿宋_GB2312" w:hAnsi="宋体" w:eastAsia="仿宋_GB2312" w:cs="仿宋_GB2312"/>
          <w:b/>
          <w:bCs/>
          <w:sz w:val="24"/>
          <w:szCs w:val="24"/>
        </w:rPr>
        <w:t>作品编号：</w:t>
      </w:r>
    </w:p>
    <w:tbl>
      <w:tblPr>
        <w:tblStyle w:val="3"/>
        <w:tblW w:w="882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577"/>
        <w:gridCol w:w="6377"/>
        <w:gridCol w:w="86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734" w:hRule="atLeast"/>
          <w:tblHeader/>
          <w:jc w:val="center"/>
        </w:trPr>
        <w:tc>
          <w:tcPr>
            <w:tcW w:w="1577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指标</w:t>
            </w:r>
          </w:p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（分值）</w:t>
            </w:r>
          </w:p>
        </w:tc>
        <w:tc>
          <w:tcPr>
            <w:tcW w:w="6377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指标说明</w:t>
            </w:r>
          </w:p>
        </w:tc>
        <w:tc>
          <w:tcPr>
            <w:tcW w:w="866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2" w:hRule="atLeast"/>
          <w:jc w:val="center"/>
        </w:trPr>
        <w:tc>
          <w:tcPr>
            <w:tcW w:w="157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选题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（</w:t>
            </w:r>
            <w:r>
              <w:rPr>
                <w:rFonts w:ascii="仿宋_GB2312" w:hAnsi="仿宋" w:eastAsia="仿宋_GB2312" w:cs="仿宋_GB2312"/>
                <w:b/>
                <w:bCs/>
                <w:sz w:val="24"/>
                <w:szCs w:val="24"/>
              </w:rPr>
              <w:t>15%</w:t>
            </w: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637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选题清晰明确，基于选题能够明确行业企业应用的价值，对选题背景中对问题把握准确，重点突出，没有歧义（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>0-5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866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2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6377" w:type="dxa"/>
            <w:vAlign w:val="center"/>
          </w:tcPr>
          <w:p>
            <w:pPr>
              <w:widowControl/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选题紧贴我国物流发展实践情况，具有一定前瞻性（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>0-5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866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037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6377" w:type="dxa"/>
            <w:vAlign w:val="center"/>
          </w:tcPr>
          <w:p>
            <w:pPr>
              <w:widowControl/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提出的解决方案对现实问题的分析深入、明确、具体，针对性强（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>0-5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866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57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创新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（</w:t>
            </w:r>
            <w:r>
              <w:rPr>
                <w:rFonts w:ascii="仿宋_GB2312" w:hAnsi="仿宋" w:eastAsia="仿宋_GB2312" w:cs="仿宋_GB2312"/>
                <w:b/>
                <w:bCs/>
                <w:sz w:val="24"/>
                <w:szCs w:val="24"/>
              </w:rPr>
              <w:t>30%</w:t>
            </w: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637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方案有理念、方法、技术手段等方面创新，能够体现技术及信息化手段对当前物流行业的价值（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>0-10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866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637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方案中对于问题解决、物流企业降本增效方案符合参照企业或物流行业实际情况，有应用价值（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>0-10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866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637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方案有较大推广价值（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>0-10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866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47" w:hRule="atLeast"/>
          <w:jc w:val="center"/>
        </w:trPr>
        <w:tc>
          <w:tcPr>
            <w:tcW w:w="157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内容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（</w:t>
            </w:r>
            <w:r>
              <w:rPr>
                <w:rFonts w:ascii="仿宋_GB2312" w:hAnsi="仿宋" w:eastAsia="仿宋_GB2312" w:cs="仿宋_GB2312"/>
                <w:b/>
                <w:bCs/>
                <w:sz w:val="24"/>
                <w:szCs w:val="24"/>
              </w:rPr>
              <w:t>20%</w:t>
            </w: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637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方案为综合解决现实运营中的系列问题的整体方案，整体效果好（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>0-5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866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637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方案具有完整性，提出问题、分析问题提、解决问题各环节均具备，方案在设计内容上无明显的错误（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>0-5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866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637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方案中的所有文字描述、图表、软件等互相支持，逻辑清晰，共同解决所确定的问题（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>0-5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866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637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方案涉及内容实际而深入，具一定的技术与组织难度（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>0-5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866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57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设计方法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（</w:t>
            </w:r>
            <w:r>
              <w:rPr>
                <w:rFonts w:ascii="仿宋_GB2312" w:hAnsi="仿宋" w:eastAsia="仿宋_GB2312" w:cs="仿宋_GB2312"/>
                <w:b/>
                <w:bCs/>
                <w:sz w:val="24"/>
                <w:szCs w:val="24"/>
              </w:rPr>
              <w:t>25%</w:t>
            </w: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637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忠于物流企业运作的事实，能够做出一定假设，所作出的假设符合国内物流业和企业的实际（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>0-5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866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98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637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有明确、适用的设计方法，采用了定性和定量手段，根据企业基础数据能够进行现状分析，能够通过方案假设验证去设计左右的辅助决策的建议，设计方法严谨逻辑性强（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>0-5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866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98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637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能够运用物流专业知识和技能，能利用信息技术解决企业问题（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>0-5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866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98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637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方案中体现经济、管理、仓网规划等不同领域的知识的综合应用（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>0-5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866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98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637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解决方案中有计算机软件、可视化分析图、成本分析可视化图，成本数据表格等。（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>0-5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866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008" w:hRule="atLeast"/>
          <w:jc w:val="center"/>
        </w:trPr>
        <w:tc>
          <w:tcPr>
            <w:tcW w:w="157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规范性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（</w:t>
            </w:r>
            <w:r>
              <w:rPr>
                <w:rFonts w:ascii="仿宋_GB2312" w:hAnsi="仿宋" w:eastAsia="仿宋_GB2312" w:cs="仿宋_GB2312"/>
                <w:b/>
                <w:bCs/>
                <w:sz w:val="24"/>
                <w:szCs w:val="24"/>
              </w:rPr>
              <w:t>10%</w:t>
            </w: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637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方案合理应用非文字要素，如图表、软件、数学模型等，方案文字、图表、软件、设计图纸等符合国家规范（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>0-5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866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008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637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提交评审的文档核材料齐全、装订整齐、规范、美观、软件界面友好、图纸整洁，方案逻辑严密（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>0-5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866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023" w:hRule="atLeast"/>
          <w:jc w:val="center"/>
        </w:trPr>
        <w:tc>
          <w:tcPr>
            <w:tcW w:w="1577" w:type="dxa"/>
            <w:tcBorders>
              <w:bottom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评语</w:t>
            </w:r>
          </w:p>
        </w:tc>
        <w:tc>
          <w:tcPr>
            <w:tcW w:w="6377" w:type="dxa"/>
            <w:tcBorders>
              <w:bottom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签名：</w:t>
            </w:r>
          </w:p>
          <w:p>
            <w:pPr>
              <w:spacing w:line="440" w:lineRule="exact"/>
              <w:ind w:left="3840" w:right="480" w:hanging="3840" w:hangingChars="160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 xml:space="preserve">                            年   月    日</w:t>
            </w:r>
          </w:p>
        </w:tc>
        <w:tc>
          <w:tcPr>
            <w:tcW w:w="866" w:type="dxa"/>
            <w:tcBorders>
              <w:bottom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仿宋_GB2312" w:hAnsi="宋体" w:eastAsia="仿宋_GB2312"/>
          <w:sz w:val="24"/>
          <w:szCs w:val="24"/>
        </w:rPr>
      </w:pPr>
    </w:p>
    <w:p>
      <w:pPr>
        <w:spacing w:line="360" w:lineRule="auto"/>
        <w:rPr>
          <w:rFonts w:ascii="仿宋_GB2312" w:hAnsi="宋体" w:eastAsia="仿宋_GB2312" w:cs="仿宋_GB2312"/>
          <w:sz w:val="24"/>
          <w:szCs w:val="24"/>
          <w:u w:val="single"/>
        </w:rPr>
      </w:pPr>
    </w:p>
    <w:p/>
    <w:p>
      <w:pPr>
        <w:spacing w:line="360" w:lineRule="auto"/>
        <w:jc w:val="left"/>
        <w:rPr>
          <w:rFonts w:ascii="仿宋" w:hAnsi="仿宋" w:eastAsia="仿宋" w:cs="仿宋"/>
          <w:b/>
          <w:bCs/>
          <w:sz w:val="24"/>
          <w:szCs w:val="2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cs="Times New Roman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iMjZhYzVjY2I3MDViOWExMzVlZDI4YjdiMjhjYWMifQ=="/>
  </w:docVars>
  <w:rsids>
    <w:rsidRoot w:val="7EAD2C10"/>
    <w:rsid w:val="7EAD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2022-09-26T10:46:00Z</dcterms:created>
  <dc:creator>十二</dc:creator>
  <cp:lastModifiedBy>十二</cp:lastModifiedBy>
  <dcterms:modified xsi:type="dcterms:W3CDTF">2022-09-26T10:47:15Z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9A46084F19734581B83CCE308AA88528</vt:lpwstr>
  </property>
</Properties>
</file>